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7DFACF" w14:textId="316DD176" w:rsidR="00481F1E" w:rsidRDefault="00C13F31" w:rsidP="00FD017D">
      <w:pPr>
        <w:pStyle w:val="NormalWeb"/>
        <w:spacing w:before="0" w:beforeAutospacing="0"/>
        <w:jc w:val="both"/>
        <w:rPr>
          <w:rFonts w:ascii="Garamond" w:hAnsi="Garamond"/>
          <w:sz w:val="15"/>
          <w:szCs w:val="15"/>
        </w:rPr>
      </w:pPr>
      <w:r w:rsidRPr="00D34906">
        <w:rPr>
          <w:rFonts w:ascii="Garamond" w:hAnsi="Garamond"/>
          <w:b/>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Jack Donnelly</w:t>
      </w:r>
      <w:r w:rsidR="00481F1E" w:rsidRPr="007B766C">
        <w:rPr>
          <w:rFonts w:ascii="Garamond" w:hAnsi="Garamond"/>
          <w:b/>
          <w:bCs/>
          <w:smallCaps/>
          <w:sz w:val="48"/>
          <w:szCs w:val="48"/>
        </w:rPr>
        <w:tab/>
      </w:r>
      <w:r w:rsidR="00481F1E">
        <w:rPr>
          <w:rFonts w:ascii="Garamond" w:hAnsi="Garamond"/>
          <w:b/>
          <w:bCs/>
          <w:sz w:val="48"/>
          <w:szCs w:val="48"/>
        </w:rPr>
        <w:tab/>
      </w:r>
      <w:r w:rsidR="00481F1E">
        <w:rPr>
          <w:rFonts w:ascii="Garamond" w:hAnsi="Garamond"/>
          <w:b/>
          <w:bCs/>
          <w:sz w:val="48"/>
          <w:szCs w:val="48"/>
        </w:rPr>
        <w:tab/>
      </w:r>
      <w:r w:rsidR="00481F1E">
        <w:rPr>
          <w:rFonts w:ascii="Garamond" w:hAnsi="Garamond"/>
          <w:b/>
          <w:bCs/>
          <w:sz w:val="48"/>
          <w:szCs w:val="48"/>
        </w:rPr>
        <w:tab/>
      </w:r>
      <w:r w:rsidR="00481F1E">
        <w:rPr>
          <w:rFonts w:ascii="Garamond" w:hAnsi="Garamond"/>
          <w:b/>
          <w:bCs/>
          <w:sz w:val="48"/>
          <w:szCs w:val="48"/>
        </w:rPr>
        <w:tab/>
      </w:r>
      <w:r w:rsidR="00481F1E">
        <w:rPr>
          <w:rFonts w:ascii="Garamond" w:hAnsi="Garamond"/>
          <w:b/>
          <w:bCs/>
          <w:sz w:val="48"/>
          <w:szCs w:val="48"/>
        </w:rPr>
        <w:tab/>
        <w:t xml:space="preserve">   </w:t>
      </w:r>
      <w:r w:rsidR="001B73E5">
        <w:rPr>
          <w:rFonts w:ascii="Garamond" w:hAnsi="Garamond"/>
          <w:b/>
          <w:bCs/>
          <w:sz w:val="48"/>
          <w:szCs w:val="48"/>
        </w:rPr>
        <w:t xml:space="preserve">      </w:t>
      </w:r>
      <w:r w:rsidR="00297561">
        <w:rPr>
          <w:rFonts w:ascii="Garamond" w:hAnsi="Garamond"/>
          <w:b/>
          <w:bCs/>
          <w:sz w:val="48"/>
          <w:szCs w:val="48"/>
        </w:rPr>
        <w:t xml:space="preserve">  </w:t>
      </w:r>
      <w:r w:rsidR="00FD017D">
        <w:rPr>
          <w:rFonts w:ascii="Garamond" w:hAnsi="Garamond"/>
          <w:b/>
          <w:bCs/>
          <w:sz w:val="48"/>
          <w:szCs w:val="48"/>
        </w:rPr>
        <w:t xml:space="preserve">     </w:t>
      </w:r>
      <w:r w:rsidR="00A531B1">
        <w:rPr>
          <w:rFonts w:ascii="Garamond" w:hAnsi="Garamond"/>
          <w:b/>
          <w:bCs/>
          <w:sz w:val="48"/>
          <w:szCs w:val="48"/>
        </w:rPr>
        <w:t xml:space="preserve"> </w:t>
      </w:r>
      <w:r w:rsidR="001B73E5">
        <w:rPr>
          <w:rFonts w:ascii="Garamond" w:hAnsi="Garamond"/>
          <w:sz w:val="15"/>
          <w:szCs w:val="15"/>
        </w:rPr>
        <w:t>Revised:</w:t>
      </w:r>
      <w:r w:rsidR="008801B5">
        <w:rPr>
          <w:rFonts w:ascii="Garamond" w:hAnsi="Garamond"/>
          <w:sz w:val="15"/>
          <w:szCs w:val="15"/>
        </w:rPr>
        <w:t xml:space="preserve">  </w:t>
      </w:r>
      <w:r w:rsidR="00EA3F88">
        <w:rPr>
          <w:rFonts w:ascii="Garamond" w:hAnsi="Garamond"/>
          <w:sz w:val="15"/>
          <w:szCs w:val="15"/>
        </w:rPr>
        <w:t>January 2025</w:t>
      </w:r>
    </w:p>
    <w:tbl>
      <w:tblPr>
        <w:tblW w:w="4900" w:type="pct"/>
        <w:tblCellSpacing w:w="0" w:type="dxa"/>
        <w:tblCellMar>
          <w:left w:w="0" w:type="dxa"/>
          <w:right w:w="0" w:type="dxa"/>
        </w:tblCellMar>
        <w:tblLook w:val="0000" w:firstRow="0" w:lastRow="0" w:firstColumn="0" w:lastColumn="0" w:noHBand="0" w:noVBand="0"/>
      </w:tblPr>
      <w:tblGrid>
        <w:gridCol w:w="3243"/>
        <w:gridCol w:w="2276"/>
        <w:gridCol w:w="3654"/>
      </w:tblGrid>
      <w:tr w:rsidR="009B11EA" w:rsidRPr="009F6B59" w14:paraId="043C3775" w14:textId="77777777">
        <w:trPr>
          <w:tblCellSpacing w:w="0" w:type="dxa"/>
        </w:trPr>
        <w:tc>
          <w:tcPr>
            <w:tcW w:w="5535" w:type="dxa"/>
            <w:gridSpan w:val="2"/>
            <w:tcMar>
              <w:top w:w="15" w:type="dxa"/>
              <w:left w:w="15" w:type="dxa"/>
              <w:bottom w:w="15" w:type="dxa"/>
              <w:right w:w="15" w:type="dxa"/>
            </w:tcMar>
          </w:tcPr>
          <w:p w14:paraId="041D4C33" w14:textId="4134B6E9" w:rsidR="009B11EA" w:rsidRPr="00D34906" w:rsidRDefault="009B11EA" w:rsidP="009B11EA">
            <w:pPr>
              <w:pStyle w:val="NormalWeb"/>
              <w:spacing w:before="0" w:beforeAutospacing="0" w:after="0" w:afterAutospacing="0"/>
              <w:rPr>
                <w:rFonts w:ascii="Garamond" w:hAnsi="Garamond"/>
              </w:rPr>
            </w:pPr>
            <w:r w:rsidRPr="00D34906">
              <w:rPr>
                <w:rFonts w:ascii="Garamond" w:hAnsi="Garamond"/>
                <w:b/>
                <w:bCs/>
              </w:rPr>
              <w:t>Josef Korbel School of International Studies</w:t>
            </w:r>
          </w:p>
        </w:tc>
        <w:tc>
          <w:tcPr>
            <w:tcW w:w="3667" w:type="dxa"/>
            <w:tcMar>
              <w:top w:w="15" w:type="dxa"/>
              <w:left w:w="15" w:type="dxa"/>
              <w:bottom w:w="15" w:type="dxa"/>
              <w:right w:w="15" w:type="dxa"/>
            </w:tcMar>
          </w:tcPr>
          <w:p w14:paraId="7300E41E" w14:textId="2B6E190B" w:rsidR="009B11EA" w:rsidRPr="009B11EA" w:rsidRDefault="001B73E5" w:rsidP="009B11EA">
            <w:pPr>
              <w:spacing w:after="0"/>
              <w:jc w:val="right"/>
            </w:pPr>
            <w:r>
              <w:t xml:space="preserve">  </w:t>
            </w:r>
          </w:p>
        </w:tc>
      </w:tr>
      <w:tr w:rsidR="009B11EA" w:rsidRPr="009F6B59" w14:paraId="5E426411" w14:textId="77777777" w:rsidTr="00EB42BF">
        <w:trPr>
          <w:trHeight w:val="399"/>
          <w:tblCellSpacing w:w="0" w:type="dxa"/>
        </w:trPr>
        <w:tc>
          <w:tcPr>
            <w:tcW w:w="3254" w:type="dxa"/>
            <w:tcMar>
              <w:top w:w="15" w:type="dxa"/>
              <w:left w:w="15" w:type="dxa"/>
              <w:bottom w:w="15" w:type="dxa"/>
              <w:right w:w="15" w:type="dxa"/>
            </w:tcMar>
          </w:tcPr>
          <w:p w14:paraId="15282DFE" w14:textId="0517145E" w:rsidR="009B11EA" w:rsidRPr="00D34906" w:rsidRDefault="009B11EA" w:rsidP="009B11EA">
            <w:pPr>
              <w:pStyle w:val="NormalWeb"/>
              <w:spacing w:before="0" w:beforeAutospacing="0" w:after="0" w:afterAutospacing="0"/>
              <w:rPr>
                <w:rFonts w:ascii="Garamond" w:hAnsi="Garamond"/>
              </w:rPr>
            </w:pPr>
            <w:r w:rsidRPr="00D34906">
              <w:rPr>
                <w:rFonts w:ascii="Garamond" w:hAnsi="Garamond"/>
                <w:b/>
                <w:bCs/>
              </w:rPr>
              <w:t>University of Denver</w:t>
            </w:r>
          </w:p>
        </w:tc>
        <w:tc>
          <w:tcPr>
            <w:tcW w:w="5948" w:type="dxa"/>
            <w:gridSpan w:val="2"/>
            <w:tcMar>
              <w:top w:w="15" w:type="dxa"/>
              <w:left w:w="15" w:type="dxa"/>
              <w:bottom w:w="15" w:type="dxa"/>
              <w:right w:w="15" w:type="dxa"/>
            </w:tcMar>
          </w:tcPr>
          <w:p w14:paraId="41791C60" w14:textId="2F25DA4F" w:rsidR="009B11EA" w:rsidRPr="00CC03C1" w:rsidRDefault="009B11EA" w:rsidP="009B11EA">
            <w:pPr>
              <w:spacing w:after="0"/>
              <w:jc w:val="right"/>
            </w:pPr>
          </w:p>
        </w:tc>
      </w:tr>
      <w:tr w:rsidR="009B11EA" w:rsidRPr="009B11EA" w14:paraId="25A1D29B" w14:textId="77777777">
        <w:trPr>
          <w:tblCellSpacing w:w="0" w:type="dxa"/>
        </w:trPr>
        <w:tc>
          <w:tcPr>
            <w:tcW w:w="3254" w:type="dxa"/>
            <w:tcMar>
              <w:top w:w="15" w:type="dxa"/>
              <w:left w:w="15" w:type="dxa"/>
              <w:bottom w:w="15" w:type="dxa"/>
              <w:right w:w="15" w:type="dxa"/>
            </w:tcMar>
          </w:tcPr>
          <w:p w14:paraId="3405CE2C" w14:textId="745AE0A1" w:rsidR="009B11EA" w:rsidRPr="009B11EA" w:rsidRDefault="009B11EA" w:rsidP="009B11EA">
            <w:pPr>
              <w:pStyle w:val="NormalWeb"/>
              <w:spacing w:before="0" w:beforeAutospacing="0" w:after="0" w:afterAutospacing="0"/>
              <w:rPr>
                <w:rFonts w:ascii="Garamond" w:hAnsi="Garamond"/>
              </w:rPr>
            </w:pPr>
            <w:r w:rsidRPr="009B11EA">
              <w:rPr>
                <w:rFonts w:ascii="Garamond" w:hAnsi="Garamond"/>
                <w:bCs/>
              </w:rPr>
              <w:t>2201 South Gaylord Street</w:t>
            </w:r>
          </w:p>
        </w:tc>
        <w:tc>
          <w:tcPr>
            <w:tcW w:w="5948" w:type="dxa"/>
            <w:gridSpan w:val="2"/>
            <w:tcMar>
              <w:top w:w="15" w:type="dxa"/>
              <w:left w:w="15" w:type="dxa"/>
              <w:bottom w:w="15" w:type="dxa"/>
              <w:right w:w="15" w:type="dxa"/>
            </w:tcMar>
          </w:tcPr>
          <w:p w14:paraId="5DC33A56" w14:textId="0DFAB973" w:rsidR="009B11EA" w:rsidRPr="009B11EA" w:rsidRDefault="009B11EA" w:rsidP="009B11EA">
            <w:pPr>
              <w:spacing w:after="0"/>
              <w:jc w:val="right"/>
            </w:pPr>
            <w:r w:rsidRPr="009B11EA">
              <w:rPr>
                <w:bCs/>
              </w:rPr>
              <w:t>jack.donnelly@du.edu</w:t>
            </w:r>
          </w:p>
        </w:tc>
      </w:tr>
      <w:tr w:rsidR="009B11EA" w:rsidRPr="009B11EA" w14:paraId="4170688A" w14:textId="77777777">
        <w:trPr>
          <w:tblCellSpacing w:w="0" w:type="dxa"/>
        </w:trPr>
        <w:tc>
          <w:tcPr>
            <w:tcW w:w="3254" w:type="dxa"/>
            <w:tcMar>
              <w:top w:w="15" w:type="dxa"/>
              <w:left w:w="15" w:type="dxa"/>
              <w:bottom w:w="15" w:type="dxa"/>
              <w:right w:w="15" w:type="dxa"/>
            </w:tcMar>
          </w:tcPr>
          <w:p w14:paraId="4C194439" w14:textId="65228BB0" w:rsidR="009B11EA" w:rsidRPr="009B11EA" w:rsidRDefault="009B11EA" w:rsidP="009B11EA">
            <w:pPr>
              <w:pStyle w:val="NormalWeb"/>
              <w:spacing w:before="0" w:beforeAutospacing="0" w:after="0" w:afterAutospacing="0"/>
              <w:rPr>
                <w:rFonts w:ascii="Garamond" w:hAnsi="Garamond"/>
              </w:rPr>
            </w:pPr>
            <w:r w:rsidRPr="009B11EA">
              <w:rPr>
                <w:rFonts w:ascii="Garamond" w:hAnsi="Garamond"/>
                <w:bCs/>
              </w:rPr>
              <w:t>Denver, Colorado 80208</w:t>
            </w:r>
          </w:p>
        </w:tc>
        <w:tc>
          <w:tcPr>
            <w:tcW w:w="5948" w:type="dxa"/>
            <w:gridSpan w:val="2"/>
            <w:tcMar>
              <w:top w:w="15" w:type="dxa"/>
              <w:left w:w="15" w:type="dxa"/>
              <w:bottom w:w="15" w:type="dxa"/>
              <w:right w:w="15" w:type="dxa"/>
            </w:tcMar>
          </w:tcPr>
          <w:p w14:paraId="005B163A" w14:textId="16055D69" w:rsidR="009B11EA" w:rsidRPr="009B11EA" w:rsidRDefault="009B11EA" w:rsidP="009B11EA">
            <w:pPr>
              <w:spacing w:after="0"/>
              <w:jc w:val="right"/>
            </w:pPr>
            <w:hyperlink r:id="rId7" w:history="1">
              <w:r w:rsidRPr="00106AFA">
                <w:rPr>
                  <w:rStyle w:val="Hyperlink"/>
                </w:rPr>
                <w:t>https://jackdonnelly.org/</w:t>
              </w:r>
            </w:hyperlink>
          </w:p>
        </w:tc>
      </w:tr>
    </w:tbl>
    <w:p w14:paraId="68486E6F" w14:textId="04793B88" w:rsidR="00C13F31" w:rsidRPr="009F6B59" w:rsidRDefault="00C13F31" w:rsidP="00EB42BF">
      <w:pPr>
        <w:pStyle w:val="NormalWeb"/>
        <w:spacing w:before="0" w:beforeAutospacing="0" w:afterAutospacing="0"/>
        <w:rPr>
          <w:rFonts w:ascii="Garamond" w:hAnsi="Garamond"/>
        </w:rPr>
      </w:pPr>
    </w:p>
    <w:p w14:paraId="3DC17FBA" w14:textId="77777777" w:rsidR="00C13F31" w:rsidRPr="00D34906" w:rsidRDefault="00C13F31" w:rsidP="00440FD6">
      <w:pPr>
        <w:pStyle w:val="NormalWeb"/>
        <w:spacing w:before="0" w:beforeAutospacing="0" w:after="120" w:afterAutospacing="0"/>
        <w:rPr>
          <w:rFonts w:ascii="Garamond" w:hAnsi="Garamond"/>
          <w:b/>
          <w:smallCaps/>
          <w:sz w:val="28"/>
          <w:szCs w:val="28"/>
        </w:rPr>
      </w:pPr>
      <w:r w:rsidRPr="00D34906">
        <w:rPr>
          <w:rFonts w:ascii="Garamond" w:hAnsi="Garamond"/>
          <w:b/>
          <w:bCs/>
          <w:iCs/>
          <w:smallCaps/>
          <w:sz w:val="28"/>
          <w:szCs w:val="28"/>
        </w:rPr>
        <w:t xml:space="preserve">Education </w:t>
      </w:r>
    </w:p>
    <w:p w14:paraId="434DCF86" w14:textId="77777777" w:rsidR="00C13F31" w:rsidRPr="00416186" w:rsidRDefault="00C13F31" w:rsidP="003347CE">
      <w:pPr>
        <w:pStyle w:val="NormalWeb"/>
        <w:spacing w:before="0" w:beforeAutospacing="0" w:after="40" w:afterAutospacing="0"/>
        <w:ind w:left="432"/>
        <w:rPr>
          <w:rFonts w:ascii="Garamond" w:hAnsi="Garamond"/>
        </w:rPr>
      </w:pPr>
      <w:r w:rsidRPr="00416186">
        <w:rPr>
          <w:rFonts w:ascii="Garamond" w:hAnsi="Garamond"/>
        </w:rPr>
        <w:t>University of California, Berkeley, Ph.D., 1982.</w:t>
      </w:r>
    </w:p>
    <w:p w14:paraId="5B0A3D6D" w14:textId="694620B0" w:rsidR="00440FD6" w:rsidRPr="00416186" w:rsidRDefault="00C13F31" w:rsidP="00416186">
      <w:pPr>
        <w:pStyle w:val="NormalWeb"/>
        <w:spacing w:before="0" w:beforeAutospacing="0" w:after="60" w:afterAutospacing="0"/>
        <w:ind w:left="432"/>
        <w:rPr>
          <w:rFonts w:ascii="Garamond" w:hAnsi="Garamond"/>
        </w:rPr>
      </w:pPr>
      <w:r w:rsidRPr="00416186">
        <w:rPr>
          <w:rFonts w:ascii="Garamond" w:hAnsi="Garamond"/>
        </w:rPr>
        <w:t>Georgetown University, B.S.F.S., 1973, M.A., 1975.</w:t>
      </w:r>
    </w:p>
    <w:p w14:paraId="11B7FB20" w14:textId="77777777" w:rsidR="00C13F31" w:rsidRPr="00D34906" w:rsidRDefault="00C13F31" w:rsidP="00D75489">
      <w:pPr>
        <w:pStyle w:val="NormalWeb"/>
        <w:keepNext/>
        <w:keepLines/>
        <w:spacing w:before="240" w:beforeAutospacing="0" w:after="120" w:afterAutospacing="0"/>
        <w:rPr>
          <w:rFonts w:ascii="Garamond" w:hAnsi="Garamond"/>
          <w:b/>
          <w:smallCaps/>
          <w:sz w:val="28"/>
          <w:szCs w:val="28"/>
        </w:rPr>
      </w:pPr>
      <w:r w:rsidRPr="00D34906">
        <w:rPr>
          <w:rFonts w:ascii="Garamond" w:hAnsi="Garamond"/>
          <w:b/>
          <w:bCs/>
          <w:smallCaps/>
          <w:sz w:val="28"/>
          <w:szCs w:val="28"/>
        </w:rPr>
        <w:t xml:space="preserve">Teaching Experience </w:t>
      </w:r>
    </w:p>
    <w:p w14:paraId="5A29AEC6" w14:textId="4D61EAC5" w:rsidR="00C13F31" w:rsidRPr="00416186" w:rsidRDefault="00C13F31" w:rsidP="003347CE">
      <w:pPr>
        <w:pStyle w:val="NormalWeb"/>
        <w:spacing w:before="0" w:beforeAutospacing="0" w:after="40" w:afterAutospacing="0"/>
        <w:ind w:left="432"/>
        <w:rPr>
          <w:rFonts w:ascii="Garamond" w:hAnsi="Garamond"/>
        </w:rPr>
      </w:pPr>
      <w:r w:rsidRPr="00416186">
        <w:rPr>
          <w:rFonts w:ascii="Garamond" w:hAnsi="Garamond"/>
        </w:rPr>
        <w:t xml:space="preserve">Andrew W. Mellon Professor, Josef Korbel School of International Studies, University of Denver, 1992- . </w:t>
      </w:r>
      <w:r w:rsidR="00DB671C" w:rsidRPr="00416186">
        <w:rPr>
          <w:rFonts w:ascii="Garamond" w:hAnsi="Garamond"/>
        </w:rPr>
        <w:t xml:space="preserve"> (Also, Distinguished University Professor, 2009- .)</w:t>
      </w:r>
    </w:p>
    <w:p w14:paraId="0C22CBF5" w14:textId="150D12C1" w:rsidR="00C13F31" w:rsidRPr="009F6B59" w:rsidRDefault="00C13F31" w:rsidP="003347CE">
      <w:pPr>
        <w:pStyle w:val="NormalWeb"/>
        <w:spacing w:before="0" w:beforeAutospacing="0" w:after="40" w:afterAutospacing="0"/>
        <w:ind w:left="432"/>
        <w:rPr>
          <w:rFonts w:ascii="Garamond" w:hAnsi="Garamond"/>
        </w:rPr>
      </w:pPr>
      <w:r w:rsidRPr="009F6B59">
        <w:rPr>
          <w:rFonts w:ascii="Garamond" w:hAnsi="Garamond"/>
        </w:rPr>
        <w:t>Associate Professor, University of North Carolina, Chapel Hill, 1987-1992. (Assistant</w:t>
      </w:r>
      <w:r w:rsidR="00416186">
        <w:rPr>
          <w:rFonts w:ascii="Garamond" w:hAnsi="Garamond"/>
        </w:rPr>
        <w:t>,</w:t>
      </w:r>
      <w:r w:rsidRPr="009F6B59">
        <w:rPr>
          <w:rFonts w:ascii="Garamond" w:hAnsi="Garamond"/>
        </w:rPr>
        <w:t xml:space="preserve"> 1984-87.) </w:t>
      </w:r>
    </w:p>
    <w:p w14:paraId="2DF72A4E" w14:textId="77777777" w:rsidR="00C13F31" w:rsidRPr="009F6B59" w:rsidRDefault="00C13F31" w:rsidP="003347CE">
      <w:pPr>
        <w:pStyle w:val="NormalWeb"/>
        <w:spacing w:before="0" w:beforeAutospacing="0" w:after="40" w:afterAutospacing="0"/>
        <w:ind w:left="432"/>
        <w:rPr>
          <w:rFonts w:ascii="Garamond" w:hAnsi="Garamond"/>
        </w:rPr>
      </w:pPr>
      <w:r w:rsidRPr="009F6B59">
        <w:rPr>
          <w:rFonts w:ascii="Garamond" w:hAnsi="Garamond"/>
        </w:rPr>
        <w:t xml:space="preserve">Assistant Professor, College of the Holy Cross, 1981-1984. </w:t>
      </w:r>
    </w:p>
    <w:p w14:paraId="7E1EC3EE" w14:textId="77777777" w:rsidR="00C13F31" w:rsidRPr="009F6B59" w:rsidRDefault="00C13F31" w:rsidP="003347CE">
      <w:pPr>
        <w:pStyle w:val="NormalWeb"/>
        <w:spacing w:before="0" w:beforeAutospacing="0" w:after="40" w:afterAutospacing="0"/>
        <w:ind w:left="432"/>
        <w:rPr>
          <w:rFonts w:ascii="Garamond" w:hAnsi="Garamond"/>
        </w:rPr>
      </w:pPr>
      <w:r w:rsidRPr="009F6B59">
        <w:rPr>
          <w:rFonts w:ascii="Garamond" w:hAnsi="Garamond"/>
        </w:rPr>
        <w:t xml:space="preserve">Visiting Instructor, Tulane University, 1980-1981. </w:t>
      </w:r>
    </w:p>
    <w:p w14:paraId="7D4F7A3E" w14:textId="77777777" w:rsidR="00C13F31" w:rsidRPr="009F6B59" w:rsidRDefault="00C13F31" w:rsidP="003347CE">
      <w:pPr>
        <w:pStyle w:val="NormalWeb"/>
        <w:spacing w:before="0" w:beforeAutospacing="0" w:after="40" w:afterAutospacing="0"/>
        <w:ind w:left="432"/>
        <w:rPr>
          <w:rFonts w:ascii="Garamond" w:hAnsi="Garamond"/>
        </w:rPr>
      </w:pPr>
      <w:r w:rsidRPr="009F6B59">
        <w:rPr>
          <w:rFonts w:ascii="Garamond" w:hAnsi="Garamond"/>
        </w:rPr>
        <w:t xml:space="preserve">Instructor, Mills College, 1979-1980. </w:t>
      </w:r>
    </w:p>
    <w:p w14:paraId="482F69DE" w14:textId="13854345" w:rsidR="00C13F31" w:rsidRPr="009F6B59" w:rsidRDefault="00C13F31" w:rsidP="003347CE">
      <w:pPr>
        <w:pStyle w:val="NormalWeb"/>
        <w:spacing w:before="0" w:beforeAutospacing="0" w:after="60" w:afterAutospacing="0"/>
        <w:ind w:left="432"/>
        <w:rPr>
          <w:rFonts w:ascii="Garamond" w:hAnsi="Garamond"/>
        </w:rPr>
      </w:pPr>
      <w:r w:rsidRPr="009F6B59">
        <w:rPr>
          <w:rFonts w:ascii="Garamond" w:hAnsi="Garamond"/>
        </w:rPr>
        <w:t xml:space="preserve">Visiting Professor: </w:t>
      </w:r>
      <w:proofErr w:type="spellStart"/>
      <w:r w:rsidR="009832AA" w:rsidRPr="009832AA">
        <w:rPr>
          <w:rFonts w:ascii="Garamond" w:hAnsi="Garamond"/>
        </w:rPr>
        <w:t>Institut</w:t>
      </w:r>
      <w:proofErr w:type="spellEnd"/>
      <w:r w:rsidR="009832AA" w:rsidRPr="009832AA">
        <w:rPr>
          <w:rFonts w:ascii="Garamond" w:hAnsi="Garamond"/>
        </w:rPr>
        <w:t xml:space="preserve"> Barcelona </w:t>
      </w:r>
      <w:proofErr w:type="spellStart"/>
      <w:r w:rsidR="009832AA" w:rsidRPr="009832AA">
        <w:rPr>
          <w:rFonts w:ascii="Garamond" w:hAnsi="Garamond"/>
        </w:rPr>
        <w:t>d'Estudis</w:t>
      </w:r>
      <w:proofErr w:type="spellEnd"/>
      <w:r w:rsidR="009832AA" w:rsidRPr="009832AA">
        <w:rPr>
          <w:rFonts w:ascii="Garamond" w:hAnsi="Garamond"/>
        </w:rPr>
        <w:t xml:space="preserve"> </w:t>
      </w:r>
      <w:proofErr w:type="spellStart"/>
      <w:r w:rsidR="009832AA" w:rsidRPr="009832AA">
        <w:rPr>
          <w:rFonts w:ascii="Garamond" w:hAnsi="Garamond"/>
        </w:rPr>
        <w:t>Internacionals</w:t>
      </w:r>
      <w:proofErr w:type="spellEnd"/>
      <w:r w:rsidR="009832AA">
        <w:rPr>
          <w:rFonts w:ascii="Garamond" w:hAnsi="Garamond"/>
        </w:rPr>
        <w:t xml:space="preserve">, </w:t>
      </w:r>
      <w:r w:rsidR="007552B1">
        <w:rPr>
          <w:rFonts w:ascii="Garamond" w:hAnsi="Garamond"/>
        </w:rPr>
        <w:t xml:space="preserve">Barcelona, Spain, </w:t>
      </w:r>
      <w:r w:rsidR="009832AA">
        <w:rPr>
          <w:rFonts w:ascii="Garamond" w:hAnsi="Garamond"/>
        </w:rPr>
        <w:t>20</w:t>
      </w:r>
      <w:r w:rsidR="002F5286">
        <w:rPr>
          <w:rFonts w:ascii="Garamond" w:hAnsi="Garamond"/>
        </w:rPr>
        <w:t>23</w:t>
      </w:r>
      <w:r w:rsidR="009832AA">
        <w:rPr>
          <w:rFonts w:ascii="Garamond" w:hAnsi="Garamond"/>
        </w:rPr>
        <w:t xml:space="preserve">. </w:t>
      </w:r>
      <w:r w:rsidRPr="009F6B59">
        <w:rPr>
          <w:rFonts w:ascii="Garamond" w:hAnsi="Garamond"/>
        </w:rPr>
        <w:t>National University of Singapore, 2008.</w:t>
      </w:r>
      <w:r w:rsidR="003347CE">
        <w:rPr>
          <w:rFonts w:ascii="Garamond" w:hAnsi="Garamond"/>
        </w:rPr>
        <w:t xml:space="preserve">  </w:t>
      </w:r>
      <w:r w:rsidRPr="009F6B59">
        <w:rPr>
          <w:rFonts w:ascii="Garamond" w:hAnsi="Garamond"/>
        </w:rPr>
        <w:t xml:space="preserve">University of Connecticut, </w:t>
      </w:r>
      <w:r w:rsidR="006D58EE">
        <w:rPr>
          <w:rFonts w:ascii="Garamond" w:hAnsi="Garamond"/>
        </w:rPr>
        <w:t xml:space="preserve">Stoors, </w:t>
      </w:r>
      <w:r w:rsidRPr="009F6B59">
        <w:rPr>
          <w:rFonts w:ascii="Garamond" w:hAnsi="Garamond"/>
        </w:rPr>
        <w:t>2002.</w:t>
      </w:r>
      <w:r w:rsidR="003347CE">
        <w:rPr>
          <w:rFonts w:ascii="Garamond" w:hAnsi="Garamond"/>
        </w:rPr>
        <w:t xml:space="preserve">  </w:t>
      </w:r>
      <w:r w:rsidRPr="009F6B59">
        <w:rPr>
          <w:rFonts w:ascii="Garamond" w:hAnsi="Garamond"/>
        </w:rPr>
        <w:t xml:space="preserve">Bar-Ilan University, Ramat-Gan, Israel, 1996. </w:t>
      </w:r>
      <w:r w:rsidR="003347CE">
        <w:rPr>
          <w:rFonts w:ascii="Garamond" w:hAnsi="Garamond"/>
        </w:rPr>
        <w:t xml:space="preserve"> </w:t>
      </w:r>
      <w:r w:rsidRPr="009F6B59">
        <w:rPr>
          <w:rFonts w:ascii="Garamond" w:hAnsi="Garamond"/>
        </w:rPr>
        <w:t xml:space="preserve">National University, Heredia, Costa Rica, 1994. </w:t>
      </w:r>
      <w:r w:rsidR="003347CE">
        <w:rPr>
          <w:rFonts w:ascii="Garamond" w:hAnsi="Garamond"/>
        </w:rPr>
        <w:t xml:space="preserve"> </w:t>
      </w:r>
      <w:r w:rsidRPr="009F6B59">
        <w:rPr>
          <w:rFonts w:ascii="Garamond" w:hAnsi="Garamond"/>
        </w:rPr>
        <w:t xml:space="preserve">University of the Republic, Montevideo, Uruguay, 1990. </w:t>
      </w:r>
    </w:p>
    <w:p w14:paraId="5DFD5505" w14:textId="77777777" w:rsidR="00C13F31" w:rsidRPr="00D34906" w:rsidRDefault="00C13F31" w:rsidP="00D75489">
      <w:pPr>
        <w:pStyle w:val="NormalWeb"/>
        <w:keepNext/>
        <w:keepLines/>
        <w:spacing w:before="240" w:beforeAutospacing="0" w:after="120" w:afterAutospacing="0"/>
        <w:rPr>
          <w:rFonts w:ascii="Garamond" w:hAnsi="Garamond"/>
          <w:b/>
          <w:bCs/>
          <w:smallCaps/>
          <w:sz w:val="28"/>
          <w:szCs w:val="28"/>
        </w:rPr>
      </w:pPr>
      <w:r w:rsidRPr="00D34906">
        <w:rPr>
          <w:rFonts w:ascii="Garamond" w:hAnsi="Garamond"/>
          <w:b/>
          <w:bCs/>
          <w:smallCaps/>
          <w:sz w:val="28"/>
          <w:szCs w:val="28"/>
        </w:rPr>
        <w:t xml:space="preserve">Publications </w:t>
      </w:r>
    </w:p>
    <w:p w14:paraId="5AB39148" w14:textId="7297A3D8" w:rsidR="00C13F31" w:rsidRDefault="00575071" w:rsidP="00740562">
      <w:pPr>
        <w:spacing w:before="240"/>
        <w:rPr>
          <w:b/>
          <w:bCs/>
        </w:rPr>
      </w:pPr>
      <w:r w:rsidRPr="00767D56">
        <w:rPr>
          <w:b/>
        </w:rPr>
        <w:t xml:space="preserve">Google Scholar </w:t>
      </w:r>
      <w:r w:rsidR="00CC5484">
        <w:rPr>
          <w:b/>
        </w:rPr>
        <w:t xml:space="preserve">metrics </w:t>
      </w:r>
      <w:r w:rsidR="00CC5484" w:rsidRPr="001C648D">
        <w:t>(</w:t>
      </w:r>
      <w:r w:rsidR="006D58EE">
        <w:t>as of</w:t>
      </w:r>
      <w:r w:rsidR="00106AFA">
        <w:t xml:space="preserve"> </w:t>
      </w:r>
      <w:r w:rsidR="00EA3F88">
        <w:t>January 7, 2025</w:t>
      </w:r>
      <w:r w:rsidR="00CC5484">
        <w:t>)</w:t>
      </w:r>
      <w:r w:rsidR="00A531B1">
        <w:br/>
      </w:r>
      <w:r w:rsidR="00740562">
        <w:t xml:space="preserve">     </w:t>
      </w:r>
      <w:r w:rsidR="00A65961">
        <w:t>2</w:t>
      </w:r>
      <w:r w:rsidR="00EA3F88">
        <w:t>4,402</w:t>
      </w:r>
      <w:r w:rsidR="00A531B1">
        <w:t>. h-index: 4</w:t>
      </w:r>
      <w:r w:rsidR="00EA3F88">
        <w:t>8</w:t>
      </w:r>
      <w:r w:rsidR="00A531B1">
        <w:t xml:space="preserve">. i10: </w:t>
      </w:r>
      <w:r w:rsidR="00EA3F88">
        <w:t>89</w:t>
      </w:r>
      <w:r w:rsidR="00A531B1">
        <w:t>.  Since 20</w:t>
      </w:r>
      <w:r w:rsidR="00EA3F88">
        <w:t>20</w:t>
      </w:r>
      <w:r w:rsidR="00A531B1">
        <w:t xml:space="preserve">: </w:t>
      </w:r>
      <w:r w:rsidR="00EA3F88">
        <w:t>5.414</w:t>
      </w:r>
      <w:r w:rsidR="008801B5">
        <w:t>,</w:t>
      </w:r>
      <w:r w:rsidR="00A531B1">
        <w:t xml:space="preserve"> 2</w:t>
      </w:r>
      <w:r w:rsidR="00EA3F88">
        <w:t>6</w:t>
      </w:r>
      <w:r w:rsidR="00A531B1">
        <w:t xml:space="preserve">, </w:t>
      </w:r>
      <w:r w:rsidR="008801B5">
        <w:t>4</w:t>
      </w:r>
      <w:r w:rsidR="00EA3F88">
        <w:t>0</w:t>
      </w:r>
      <w:r w:rsidR="00A531B1">
        <w:t>.</w:t>
      </w:r>
      <w:r w:rsidR="00184EB1">
        <w:br/>
      </w:r>
      <w:r w:rsidR="00740562">
        <w:t xml:space="preserve">     </w:t>
      </w:r>
      <w:hyperlink r:id="rId8" w:history="1">
        <w:r w:rsidR="00740562" w:rsidRPr="00CF3697">
          <w:rPr>
            <w:rStyle w:val="Hyperlink"/>
          </w:rPr>
          <w:t>https://scholar.google.com/citations?user=2X0DLYwAAAAJ&amp;</w:t>
        </w:r>
        <w:r w:rsidR="00740562" w:rsidRPr="00CF3697">
          <w:rPr>
            <w:rStyle w:val="Hyperlink"/>
          </w:rPr>
          <w:t>h</w:t>
        </w:r>
        <w:r w:rsidR="00740562" w:rsidRPr="00CF3697">
          <w:rPr>
            <w:rStyle w:val="Hyperlink"/>
          </w:rPr>
          <w:t>l=en</w:t>
        </w:r>
      </w:hyperlink>
      <w:r w:rsidR="00184EB1">
        <w:t xml:space="preserve"> </w:t>
      </w:r>
      <w:r w:rsidR="004233F3">
        <w:t xml:space="preserve">  </w:t>
      </w:r>
      <w:r w:rsidR="001622A7">
        <w:br/>
        <w:t xml:space="preserve">            </w:t>
      </w:r>
      <w:bookmarkStart w:id="0" w:name="OLE_LINK7"/>
      <w:bookmarkStart w:id="1" w:name="OLE_LINK8"/>
      <w:r w:rsidR="00D34906">
        <w:br/>
      </w:r>
      <w:r w:rsidR="00C13F31" w:rsidRPr="00E464E9">
        <w:rPr>
          <w:b/>
          <w:bCs/>
        </w:rPr>
        <w:t xml:space="preserve">Books </w:t>
      </w:r>
    </w:p>
    <w:p w14:paraId="776FE24F" w14:textId="3821EEBA" w:rsidR="00B532B4" w:rsidRPr="002539B9" w:rsidRDefault="002539B9" w:rsidP="00B532B4">
      <w:pPr>
        <w:spacing w:after="40"/>
        <w:ind w:firstLine="288"/>
      </w:pPr>
      <w:r>
        <w:t>202</w:t>
      </w:r>
      <w:r w:rsidR="009832AA">
        <w:t>4</w:t>
      </w:r>
      <w:r w:rsidR="00B532B4">
        <w:t xml:space="preserve">.  </w:t>
      </w:r>
      <w:r>
        <w:rPr>
          <w:i/>
          <w:iCs/>
        </w:rPr>
        <w:t>Systems, Relations, and the Structures of International Societies</w:t>
      </w:r>
      <w:r>
        <w:t xml:space="preserve">.  </w:t>
      </w:r>
      <w:r w:rsidR="00016CE8">
        <w:t xml:space="preserve">Cambridge:  </w:t>
      </w:r>
      <w:r>
        <w:t>Cambridge University Press.</w:t>
      </w:r>
    </w:p>
    <w:p w14:paraId="39C65D7D" w14:textId="2FBAE5A8" w:rsidR="00435602" w:rsidRPr="009F6B59" w:rsidRDefault="00435602" w:rsidP="000D4DB1">
      <w:pPr>
        <w:pStyle w:val="NormalWeb"/>
        <w:spacing w:before="0" w:beforeAutospacing="0" w:after="40" w:afterAutospacing="0"/>
        <w:ind w:firstLine="288"/>
        <w:rPr>
          <w:rFonts w:ascii="Garamond" w:hAnsi="Garamond"/>
        </w:rPr>
      </w:pPr>
      <w:r>
        <w:rPr>
          <w:rFonts w:ascii="Garamond" w:hAnsi="Garamond"/>
        </w:rPr>
        <w:t>20</w:t>
      </w:r>
      <w:r w:rsidR="008B5D86">
        <w:rPr>
          <w:rFonts w:ascii="Garamond" w:hAnsi="Garamond"/>
        </w:rPr>
        <w:t>20</w:t>
      </w:r>
      <w:r w:rsidRPr="009F6B59">
        <w:rPr>
          <w:rFonts w:ascii="Garamond" w:hAnsi="Garamond"/>
        </w:rPr>
        <w:t xml:space="preserve">.  </w:t>
      </w:r>
      <w:r w:rsidRPr="009F6B59">
        <w:rPr>
          <w:rFonts w:ascii="Garamond" w:hAnsi="Garamond"/>
          <w:i/>
        </w:rPr>
        <w:t>International Human Rights</w:t>
      </w:r>
      <w:r w:rsidRPr="009F6B59">
        <w:rPr>
          <w:rFonts w:ascii="Garamond" w:hAnsi="Garamond"/>
        </w:rPr>
        <w:t xml:space="preserve">, </w:t>
      </w:r>
      <w:r w:rsidR="008B5D86">
        <w:rPr>
          <w:rFonts w:ascii="Garamond" w:hAnsi="Garamond"/>
        </w:rPr>
        <w:t>6</w:t>
      </w:r>
      <w:r>
        <w:rPr>
          <w:rFonts w:ascii="Garamond" w:hAnsi="Garamond"/>
          <w:vertAlign w:val="superscript"/>
        </w:rPr>
        <w:t>th</w:t>
      </w:r>
      <w:r>
        <w:rPr>
          <w:rFonts w:ascii="Garamond" w:hAnsi="Garamond"/>
        </w:rPr>
        <w:t xml:space="preserve"> ed.  </w:t>
      </w:r>
      <w:r w:rsidR="00EA3F88">
        <w:rPr>
          <w:rFonts w:ascii="Garamond" w:hAnsi="Garamond"/>
        </w:rPr>
        <w:t>(5</w:t>
      </w:r>
      <w:r w:rsidR="00EA3F88" w:rsidRPr="008B5D86">
        <w:rPr>
          <w:rFonts w:ascii="Garamond" w:hAnsi="Garamond"/>
          <w:vertAlign w:val="superscript"/>
        </w:rPr>
        <w:t>th</w:t>
      </w:r>
      <w:r w:rsidR="00EA3F88">
        <w:rPr>
          <w:rFonts w:ascii="Garamond" w:hAnsi="Garamond"/>
        </w:rPr>
        <w:t xml:space="preserve"> ed. 2017, 4</w:t>
      </w:r>
      <w:r w:rsidR="00EA3F88" w:rsidRPr="00815519">
        <w:rPr>
          <w:rFonts w:ascii="Garamond" w:hAnsi="Garamond"/>
          <w:vertAlign w:val="superscript"/>
        </w:rPr>
        <w:t>th</w:t>
      </w:r>
      <w:r w:rsidR="00EA3F88">
        <w:rPr>
          <w:rFonts w:ascii="Garamond" w:hAnsi="Garamond"/>
        </w:rPr>
        <w:t xml:space="preserve"> ed. 2012, 3</w:t>
      </w:r>
      <w:r w:rsidR="00EA3F88" w:rsidRPr="00815519">
        <w:rPr>
          <w:rFonts w:ascii="Garamond" w:hAnsi="Garamond"/>
          <w:vertAlign w:val="superscript"/>
        </w:rPr>
        <w:t>rd</w:t>
      </w:r>
      <w:r w:rsidR="00EA3F88">
        <w:rPr>
          <w:rFonts w:ascii="Garamond" w:hAnsi="Garamond"/>
        </w:rPr>
        <w:t xml:space="preserve"> ed. </w:t>
      </w:r>
      <w:r w:rsidR="00EA3F88" w:rsidRPr="009F6B59">
        <w:rPr>
          <w:rFonts w:ascii="Garamond" w:hAnsi="Garamond"/>
        </w:rPr>
        <w:t xml:space="preserve">2008, </w:t>
      </w:r>
      <w:r w:rsidR="00EA3F88">
        <w:rPr>
          <w:rFonts w:ascii="Garamond" w:hAnsi="Garamond"/>
        </w:rPr>
        <w:t>2</w:t>
      </w:r>
      <w:r w:rsidR="00EA3F88" w:rsidRPr="00815519">
        <w:rPr>
          <w:rFonts w:ascii="Garamond" w:hAnsi="Garamond"/>
          <w:vertAlign w:val="superscript"/>
        </w:rPr>
        <w:t>nd</w:t>
      </w:r>
      <w:r w:rsidR="00EA3F88">
        <w:rPr>
          <w:rFonts w:ascii="Garamond" w:hAnsi="Garamond"/>
        </w:rPr>
        <w:t xml:space="preserve"> ed. 1998, 1</w:t>
      </w:r>
      <w:r w:rsidR="00EA3F88" w:rsidRPr="00815519">
        <w:rPr>
          <w:rFonts w:ascii="Garamond" w:hAnsi="Garamond"/>
          <w:vertAlign w:val="superscript"/>
        </w:rPr>
        <w:t>st</w:t>
      </w:r>
      <w:r w:rsidR="00EA3F88">
        <w:rPr>
          <w:rFonts w:ascii="Garamond" w:hAnsi="Garamond"/>
        </w:rPr>
        <w:t xml:space="preserve"> ed. </w:t>
      </w:r>
      <w:r w:rsidR="00EA3F88" w:rsidRPr="009F6B59">
        <w:rPr>
          <w:rFonts w:ascii="Garamond" w:hAnsi="Garamond"/>
        </w:rPr>
        <w:t>1993)</w:t>
      </w:r>
      <w:r w:rsidR="00EA3F88">
        <w:rPr>
          <w:rFonts w:ascii="Garamond" w:hAnsi="Garamond"/>
        </w:rPr>
        <w:t xml:space="preserve">.  </w:t>
      </w:r>
      <w:r w:rsidR="008B5D86">
        <w:rPr>
          <w:rFonts w:ascii="Garamond" w:hAnsi="Garamond"/>
        </w:rPr>
        <w:t>London</w:t>
      </w:r>
      <w:r>
        <w:rPr>
          <w:rFonts w:ascii="Garamond" w:hAnsi="Garamond"/>
        </w:rPr>
        <w:t xml:space="preserve">:  </w:t>
      </w:r>
      <w:r w:rsidR="008B5D86">
        <w:rPr>
          <w:rFonts w:ascii="Garamond" w:hAnsi="Garamond"/>
        </w:rPr>
        <w:t>Routledge</w:t>
      </w:r>
      <w:r>
        <w:rPr>
          <w:rFonts w:ascii="Garamond" w:hAnsi="Garamond"/>
        </w:rPr>
        <w:t xml:space="preserve"> (co-author with Daniel Whelan).  </w:t>
      </w:r>
      <w:r w:rsidR="00EA3F88">
        <w:rPr>
          <w:rFonts w:ascii="Garamond" w:hAnsi="Garamond"/>
        </w:rPr>
        <w:t>(</w:t>
      </w:r>
      <w:r w:rsidR="00EA3F88" w:rsidRPr="009F6B59">
        <w:rPr>
          <w:rFonts w:ascii="Garamond" w:hAnsi="Garamond"/>
        </w:rPr>
        <w:t>Korean translation 2004, Serbo-Croati</w:t>
      </w:r>
      <w:r w:rsidR="00EA3F88">
        <w:rPr>
          <w:rFonts w:ascii="Garamond" w:hAnsi="Garamond"/>
        </w:rPr>
        <w:t>a</w:t>
      </w:r>
      <w:r w:rsidR="00EA3F88" w:rsidRPr="009F6B59">
        <w:rPr>
          <w:rFonts w:ascii="Garamond" w:hAnsi="Garamond"/>
        </w:rPr>
        <w:t>n translation 1999</w:t>
      </w:r>
      <w:r w:rsidR="00EA3F88">
        <w:rPr>
          <w:rFonts w:ascii="Garamond" w:hAnsi="Garamond"/>
        </w:rPr>
        <w:t>.)</w:t>
      </w:r>
    </w:p>
    <w:p w14:paraId="35D969A6" w14:textId="2EF8488E" w:rsidR="00AF3D8B" w:rsidRPr="009F6B59" w:rsidRDefault="00B55D3D" w:rsidP="000D4DB1">
      <w:pPr>
        <w:pStyle w:val="NormalWeb"/>
        <w:spacing w:before="0" w:beforeAutospacing="0" w:after="40" w:afterAutospacing="0"/>
        <w:ind w:firstLine="288"/>
        <w:rPr>
          <w:rFonts w:ascii="Garamond" w:hAnsi="Garamond"/>
        </w:rPr>
      </w:pPr>
      <w:r w:rsidRPr="009F6B59">
        <w:rPr>
          <w:rFonts w:ascii="Garamond" w:hAnsi="Garamond"/>
        </w:rPr>
        <w:t>2013</w:t>
      </w:r>
      <w:r w:rsidR="00AF3D8B" w:rsidRPr="009F6B59">
        <w:rPr>
          <w:rFonts w:ascii="Garamond" w:hAnsi="Garamond"/>
        </w:rPr>
        <w:t xml:space="preserve">.  </w:t>
      </w:r>
      <w:r w:rsidR="00AF3D8B" w:rsidRPr="009F6B59">
        <w:rPr>
          <w:rFonts w:ascii="Garamond" w:hAnsi="Garamond"/>
          <w:i/>
        </w:rPr>
        <w:t>Universal Human Rights in Theory and Practice</w:t>
      </w:r>
      <w:r w:rsidR="00AF3D8B" w:rsidRPr="009F6B59">
        <w:rPr>
          <w:rFonts w:ascii="Garamond" w:hAnsi="Garamond"/>
        </w:rPr>
        <w:t>, 3</w:t>
      </w:r>
      <w:r w:rsidR="00AF3D8B" w:rsidRPr="009F6B59">
        <w:rPr>
          <w:rFonts w:ascii="Garamond" w:hAnsi="Garamond"/>
          <w:vertAlign w:val="superscript"/>
        </w:rPr>
        <w:t>rd</w:t>
      </w:r>
      <w:r w:rsidR="00AF3D8B" w:rsidRPr="009F6B59">
        <w:rPr>
          <w:rFonts w:ascii="Garamond" w:hAnsi="Garamond"/>
        </w:rPr>
        <w:t xml:space="preserve"> ed.</w:t>
      </w:r>
      <w:r w:rsidR="004146A6">
        <w:rPr>
          <w:rFonts w:ascii="Garamond" w:hAnsi="Garamond"/>
        </w:rPr>
        <w:t xml:space="preserve"> (2</w:t>
      </w:r>
      <w:r w:rsidR="004146A6" w:rsidRPr="00E51700">
        <w:rPr>
          <w:rFonts w:ascii="Garamond" w:hAnsi="Garamond"/>
          <w:vertAlign w:val="superscript"/>
        </w:rPr>
        <w:t>nd</w:t>
      </w:r>
      <w:r w:rsidR="004146A6" w:rsidRPr="009F6B59">
        <w:rPr>
          <w:rFonts w:ascii="Garamond" w:hAnsi="Garamond"/>
        </w:rPr>
        <w:t xml:space="preserve"> ed</w:t>
      </w:r>
      <w:r w:rsidR="004146A6">
        <w:rPr>
          <w:rFonts w:ascii="Garamond" w:hAnsi="Garamond"/>
        </w:rPr>
        <w:t>.</w:t>
      </w:r>
      <w:r w:rsidR="004146A6" w:rsidRPr="009F6B59">
        <w:rPr>
          <w:rFonts w:ascii="Garamond" w:hAnsi="Garamond"/>
        </w:rPr>
        <w:t xml:space="preserve"> 2003, </w:t>
      </w:r>
      <w:r w:rsidR="004146A6">
        <w:rPr>
          <w:rFonts w:ascii="Garamond" w:hAnsi="Garamond"/>
        </w:rPr>
        <w:t>1</w:t>
      </w:r>
      <w:r w:rsidR="004146A6" w:rsidRPr="00E51700">
        <w:rPr>
          <w:rFonts w:ascii="Garamond" w:hAnsi="Garamond"/>
          <w:vertAlign w:val="superscript"/>
        </w:rPr>
        <w:t>st</w:t>
      </w:r>
      <w:r w:rsidR="004146A6" w:rsidRPr="009F6B59">
        <w:rPr>
          <w:rFonts w:ascii="Garamond" w:hAnsi="Garamond"/>
        </w:rPr>
        <w:t xml:space="preserve"> ed</w:t>
      </w:r>
      <w:r w:rsidR="004146A6">
        <w:rPr>
          <w:rFonts w:ascii="Garamond" w:hAnsi="Garamond"/>
        </w:rPr>
        <w:t>.</w:t>
      </w:r>
      <w:r w:rsidR="004146A6" w:rsidRPr="009F6B59">
        <w:rPr>
          <w:rFonts w:ascii="Garamond" w:hAnsi="Garamond"/>
        </w:rPr>
        <w:t xml:space="preserve"> 1989</w:t>
      </w:r>
      <w:proofErr w:type="gramStart"/>
      <w:r w:rsidR="004146A6">
        <w:rPr>
          <w:rFonts w:ascii="Garamond" w:hAnsi="Garamond"/>
        </w:rPr>
        <w:t>)</w:t>
      </w:r>
      <w:r w:rsidR="00AF3D8B" w:rsidRPr="009F6B59">
        <w:rPr>
          <w:rFonts w:ascii="Garamond" w:hAnsi="Garamond"/>
        </w:rPr>
        <w:t xml:space="preserve">  Ithaca</w:t>
      </w:r>
      <w:proofErr w:type="gramEnd"/>
      <w:r w:rsidR="00AF3D8B" w:rsidRPr="009F6B59">
        <w:rPr>
          <w:rFonts w:ascii="Garamond" w:hAnsi="Garamond"/>
        </w:rPr>
        <w:t>:  Cornell University Press.</w:t>
      </w:r>
      <w:r w:rsidRPr="009F6B59">
        <w:rPr>
          <w:rFonts w:ascii="Garamond" w:hAnsi="Garamond"/>
        </w:rPr>
        <w:t xml:space="preserve">  (</w:t>
      </w:r>
      <w:r w:rsidR="004146A6">
        <w:rPr>
          <w:rFonts w:ascii="Garamond" w:hAnsi="Garamond"/>
        </w:rPr>
        <w:t xml:space="preserve">Arabic translation </w:t>
      </w:r>
      <w:r w:rsidR="00EA3F88">
        <w:rPr>
          <w:rFonts w:ascii="Garamond" w:hAnsi="Garamond"/>
        </w:rPr>
        <w:t>2024</w:t>
      </w:r>
      <w:r w:rsidR="004146A6">
        <w:rPr>
          <w:rFonts w:ascii="Garamond" w:hAnsi="Garamond"/>
        </w:rPr>
        <w:t xml:space="preserve">, </w:t>
      </w:r>
      <w:r w:rsidR="00C62217" w:rsidRPr="009F6B59">
        <w:rPr>
          <w:rFonts w:ascii="Garamond" w:hAnsi="Garamond"/>
        </w:rPr>
        <w:t xml:space="preserve">Chinese translation 2007, </w:t>
      </w:r>
      <w:r w:rsidRPr="009F6B59">
        <w:rPr>
          <w:rFonts w:ascii="Garamond" w:hAnsi="Garamond"/>
        </w:rPr>
        <w:t>Indian edition 2006</w:t>
      </w:r>
      <w:r w:rsidR="00C62217" w:rsidRPr="009F6B59">
        <w:rPr>
          <w:rFonts w:ascii="Garamond" w:hAnsi="Garamond"/>
        </w:rPr>
        <w:t>, Arabic translation 2002, Chinese translation 1998, Turkish translation 1995, Spanish translation 1994.)</w:t>
      </w:r>
      <w:r w:rsidR="00404229">
        <w:rPr>
          <w:rFonts w:ascii="Garamond" w:hAnsi="Garamond"/>
        </w:rPr>
        <w:t xml:space="preserve"> </w:t>
      </w:r>
    </w:p>
    <w:p w14:paraId="30007E1E" w14:textId="4FA4785D" w:rsidR="00C13F31" w:rsidRPr="009F6B59" w:rsidRDefault="00C13F31" w:rsidP="000D4DB1">
      <w:pPr>
        <w:pStyle w:val="NormalWeb"/>
        <w:spacing w:before="0" w:beforeAutospacing="0" w:after="40" w:afterAutospacing="0"/>
        <w:ind w:firstLine="288"/>
        <w:rPr>
          <w:rFonts w:ascii="Garamond" w:hAnsi="Garamond"/>
        </w:rPr>
      </w:pPr>
      <w:r w:rsidRPr="009F6B59">
        <w:rPr>
          <w:rFonts w:ascii="Garamond" w:hAnsi="Garamond"/>
        </w:rPr>
        <w:t xml:space="preserve">2000.  </w:t>
      </w:r>
      <w:r w:rsidRPr="009F6B59">
        <w:rPr>
          <w:rFonts w:ascii="Garamond" w:hAnsi="Garamond"/>
          <w:i/>
          <w:iCs/>
        </w:rPr>
        <w:t>Realism and International Relations</w:t>
      </w:r>
      <w:r w:rsidRPr="009F6B59">
        <w:rPr>
          <w:rFonts w:ascii="Garamond" w:hAnsi="Garamond"/>
        </w:rPr>
        <w:t>. Cambridge:  Cambridge University Press. (Chinese translation, 2002. Korean translation, 2004.)</w:t>
      </w:r>
      <w:r w:rsidR="00F33CDE">
        <w:rPr>
          <w:rFonts w:ascii="Garamond" w:hAnsi="Garamond"/>
        </w:rPr>
        <w:t xml:space="preserve"> </w:t>
      </w:r>
    </w:p>
    <w:p w14:paraId="12709007" w14:textId="76949974" w:rsidR="00C13F31" w:rsidRDefault="00C13F31" w:rsidP="000D4DB1">
      <w:pPr>
        <w:pStyle w:val="NormalWeb"/>
        <w:spacing w:before="0" w:beforeAutospacing="0" w:after="40" w:afterAutospacing="0"/>
        <w:ind w:firstLine="288"/>
        <w:rPr>
          <w:rFonts w:ascii="Garamond" w:hAnsi="Garamond"/>
        </w:rPr>
      </w:pPr>
      <w:r w:rsidRPr="009F6B59">
        <w:rPr>
          <w:rFonts w:ascii="Garamond" w:hAnsi="Garamond"/>
        </w:rPr>
        <w:t xml:space="preserve">1985. </w:t>
      </w:r>
      <w:r w:rsidRPr="009F6B59">
        <w:rPr>
          <w:rFonts w:ascii="Garamond" w:hAnsi="Garamond"/>
          <w:i/>
          <w:iCs/>
        </w:rPr>
        <w:t>The Concept of Human Rights</w:t>
      </w:r>
      <w:r w:rsidRPr="009F6B59">
        <w:rPr>
          <w:rFonts w:ascii="Garamond" w:hAnsi="Garamond"/>
        </w:rPr>
        <w:t>. London: Croom Helm, New York: St. Martin's Press.</w:t>
      </w:r>
      <w:r w:rsidR="00E56D8A">
        <w:rPr>
          <w:rFonts w:ascii="Garamond" w:hAnsi="Garamond"/>
        </w:rPr>
        <w:t xml:space="preserve">  (Re-issued, Routledge, 2019</w:t>
      </w:r>
      <w:r w:rsidR="00297561">
        <w:rPr>
          <w:rFonts w:ascii="Garamond" w:hAnsi="Garamond"/>
        </w:rPr>
        <w:t>.)</w:t>
      </w:r>
      <w:r w:rsidR="00D75489">
        <w:rPr>
          <w:rFonts w:ascii="Garamond" w:hAnsi="Garamond"/>
        </w:rPr>
        <w:t xml:space="preserve"> </w:t>
      </w:r>
    </w:p>
    <w:p w14:paraId="2A4E0DAE" w14:textId="77777777" w:rsidR="006756F2" w:rsidRPr="009F6B59" w:rsidRDefault="006756F2" w:rsidP="009832AA">
      <w:pPr>
        <w:pStyle w:val="NormalWeb"/>
        <w:keepNext/>
        <w:keepLines/>
        <w:spacing w:before="240" w:beforeAutospacing="0" w:after="120" w:afterAutospacing="0"/>
        <w:rPr>
          <w:rFonts w:ascii="Garamond" w:hAnsi="Garamond"/>
        </w:rPr>
      </w:pPr>
      <w:r>
        <w:rPr>
          <w:rFonts w:ascii="Garamond" w:hAnsi="Garamond"/>
          <w:b/>
          <w:bCs/>
          <w:sz w:val="27"/>
          <w:szCs w:val="27"/>
        </w:rPr>
        <w:lastRenderedPageBreak/>
        <w:t xml:space="preserve">Refereed </w:t>
      </w:r>
      <w:r w:rsidRPr="009F6B59">
        <w:rPr>
          <w:rFonts w:ascii="Garamond" w:hAnsi="Garamond"/>
          <w:b/>
          <w:bCs/>
          <w:sz w:val="27"/>
          <w:szCs w:val="27"/>
        </w:rPr>
        <w:t xml:space="preserve">Articles </w:t>
      </w:r>
    </w:p>
    <w:p w14:paraId="0F6F9DA9" w14:textId="77777777" w:rsidR="006756F2" w:rsidRPr="008B5D86" w:rsidRDefault="006756F2" w:rsidP="006756F2">
      <w:pPr>
        <w:pStyle w:val="NormalWeb"/>
        <w:spacing w:before="0" w:beforeAutospacing="0" w:after="120" w:afterAutospacing="0"/>
        <w:ind w:left="720"/>
        <w:rPr>
          <w:rFonts w:ascii="Garamond" w:hAnsi="Garamond"/>
        </w:rPr>
      </w:pPr>
      <w:bookmarkStart w:id="2" w:name="OLE_LINK1"/>
      <w:bookmarkStart w:id="3" w:name="OLE_LINK2"/>
      <w:r>
        <w:rPr>
          <w:rFonts w:ascii="Garamond" w:hAnsi="Garamond"/>
        </w:rPr>
        <w:t xml:space="preserve">2021. “Levels, Centers, and Peripheries:  The Spatio-Political Structure of International Societies.”  </w:t>
      </w:r>
      <w:r>
        <w:rPr>
          <w:rFonts w:ascii="Garamond" w:hAnsi="Garamond"/>
          <w:i/>
          <w:iCs/>
        </w:rPr>
        <w:t>International Theory</w:t>
      </w:r>
      <w:r>
        <w:rPr>
          <w:rFonts w:ascii="Garamond" w:hAnsi="Garamond"/>
        </w:rPr>
        <w:t xml:space="preserve"> 13 (March): 1-35.</w:t>
      </w:r>
    </w:p>
    <w:p w14:paraId="480020E1" w14:textId="77777777" w:rsidR="006756F2" w:rsidRDefault="006756F2" w:rsidP="006756F2">
      <w:pPr>
        <w:pStyle w:val="NormalWeb"/>
        <w:spacing w:before="0" w:beforeAutospacing="0" w:after="120" w:afterAutospacing="0"/>
        <w:ind w:left="720"/>
        <w:rPr>
          <w:rFonts w:ascii="Garamond" w:hAnsi="Garamond"/>
        </w:rPr>
      </w:pPr>
      <w:r>
        <w:rPr>
          <w:rFonts w:ascii="Garamond" w:hAnsi="Garamond"/>
        </w:rPr>
        <w:t xml:space="preserve">2019. “Systems, Levels, and Structural Theory:  Waltz’s Theory is Not a Structural Theory (and Why that Matters for IR Today).” </w:t>
      </w:r>
      <w:r>
        <w:rPr>
          <w:rFonts w:ascii="Garamond" w:hAnsi="Garamond"/>
          <w:i/>
        </w:rPr>
        <w:t>European Journal of International Relations</w:t>
      </w:r>
      <w:r>
        <w:rPr>
          <w:rFonts w:ascii="Garamond" w:hAnsi="Garamond"/>
        </w:rPr>
        <w:t xml:space="preserve"> 25 (3): 904-930.</w:t>
      </w:r>
    </w:p>
    <w:p w14:paraId="47FA3254" w14:textId="77777777" w:rsidR="006756F2" w:rsidRPr="0060635A" w:rsidRDefault="006756F2" w:rsidP="006756F2">
      <w:pPr>
        <w:pStyle w:val="NormalWeb"/>
        <w:spacing w:before="0" w:beforeAutospacing="0" w:after="120" w:afterAutospacing="0"/>
        <w:ind w:left="720"/>
        <w:rPr>
          <w:rFonts w:ascii="Garamond" w:hAnsi="Garamond"/>
        </w:rPr>
      </w:pPr>
      <w:r w:rsidRPr="0060635A">
        <w:rPr>
          <w:rFonts w:ascii="Garamond" w:hAnsi="Garamond"/>
        </w:rPr>
        <w:t xml:space="preserve">2016. </w:t>
      </w:r>
      <w:r>
        <w:rPr>
          <w:rFonts w:ascii="Garamond" w:hAnsi="Garamond"/>
        </w:rPr>
        <w:t>“</w:t>
      </w:r>
      <w:r w:rsidRPr="0060635A">
        <w:rPr>
          <w:rFonts w:ascii="Garamond" w:hAnsi="Garamond"/>
        </w:rPr>
        <w:t>The Heterarchic Structure of Twenty-First-Century International Governance.</w:t>
      </w:r>
      <w:r>
        <w:rPr>
          <w:rFonts w:ascii="Garamond" w:hAnsi="Garamond"/>
        </w:rPr>
        <w:t xml:space="preserve">” </w:t>
      </w:r>
      <w:r w:rsidRPr="0060635A">
        <w:rPr>
          <w:rFonts w:ascii="Garamond" w:hAnsi="Garamond"/>
          <w:i/>
        </w:rPr>
        <w:t>Korean Journal of International Studies</w:t>
      </w:r>
      <w:r w:rsidRPr="0060635A">
        <w:rPr>
          <w:rFonts w:ascii="Garamond" w:hAnsi="Garamond"/>
        </w:rPr>
        <w:t xml:space="preserve"> 14 (1): 1-29.</w:t>
      </w:r>
    </w:p>
    <w:p w14:paraId="64698B24" w14:textId="77777777" w:rsidR="006756F2" w:rsidRDefault="006756F2" w:rsidP="006756F2">
      <w:pPr>
        <w:pStyle w:val="NormalWeb"/>
        <w:spacing w:before="0" w:beforeAutospacing="0" w:after="120" w:afterAutospacing="0"/>
        <w:ind w:left="720"/>
        <w:rPr>
          <w:rFonts w:ascii="Garamond" w:hAnsi="Garamond"/>
        </w:rPr>
      </w:pPr>
      <w:r>
        <w:rPr>
          <w:rFonts w:ascii="Garamond" w:hAnsi="Garamond"/>
        </w:rPr>
        <w:t xml:space="preserve">2015a.  “Normative versus Taxonomic Humanity:  Varieties of Human Dignity in the Western Tradition.”  </w:t>
      </w:r>
      <w:r>
        <w:rPr>
          <w:rFonts w:ascii="Garamond" w:hAnsi="Garamond"/>
          <w:i/>
        </w:rPr>
        <w:t>Journal of Human Rights</w:t>
      </w:r>
      <w:r>
        <w:rPr>
          <w:rFonts w:ascii="Garamond" w:hAnsi="Garamond"/>
        </w:rPr>
        <w:t xml:space="preserve"> 14 (January): 1-22.</w:t>
      </w:r>
    </w:p>
    <w:p w14:paraId="400BE0FC" w14:textId="77777777" w:rsidR="006756F2" w:rsidRPr="00907430" w:rsidRDefault="006756F2" w:rsidP="006756F2">
      <w:pPr>
        <w:pStyle w:val="NormalWeb"/>
        <w:spacing w:before="0" w:beforeAutospacing="0" w:after="120" w:afterAutospacing="0"/>
        <w:ind w:left="720"/>
        <w:rPr>
          <w:rFonts w:ascii="Garamond" w:hAnsi="Garamond"/>
        </w:rPr>
      </w:pPr>
      <w:r>
        <w:rPr>
          <w:rFonts w:ascii="Garamond" w:hAnsi="Garamond"/>
        </w:rPr>
        <w:t xml:space="preserve">2015b.  “The Discourse of Anarchy in IR.”  </w:t>
      </w:r>
      <w:r>
        <w:rPr>
          <w:rFonts w:ascii="Garamond" w:hAnsi="Garamond"/>
          <w:i/>
        </w:rPr>
        <w:t>International Theory</w:t>
      </w:r>
      <w:r>
        <w:rPr>
          <w:rFonts w:ascii="Garamond" w:hAnsi="Garamond"/>
        </w:rPr>
        <w:t xml:space="preserve"> 7 (November): 393-415.</w:t>
      </w:r>
    </w:p>
    <w:p w14:paraId="22C2F585"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2012a.  “The Differentiation of International Societies:  An Approach to Structural International Theory.”  </w:t>
      </w:r>
      <w:r w:rsidRPr="009F6B59">
        <w:rPr>
          <w:rFonts w:ascii="Garamond" w:hAnsi="Garamond"/>
          <w:i/>
        </w:rPr>
        <w:t xml:space="preserve">European Journal of International Relations </w:t>
      </w:r>
      <w:r w:rsidRPr="009F6B59">
        <w:rPr>
          <w:rFonts w:ascii="Garamond" w:hAnsi="Garamond"/>
        </w:rPr>
        <w:t>18 (January): 147-172.</w:t>
      </w:r>
    </w:p>
    <w:p w14:paraId="2C51BE3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2012b.  “The Elements of the Structures of International Societies.”  </w:t>
      </w:r>
      <w:r w:rsidRPr="009F6B59">
        <w:rPr>
          <w:rFonts w:ascii="Garamond" w:hAnsi="Garamond"/>
          <w:i/>
        </w:rPr>
        <w:t xml:space="preserve">International Organization </w:t>
      </w:r>
      <w:r w:rsidRPr="009F6B59">
        <w:rPr>
          <w:rFonts w:ascii="Garamond" w:hAnsi="Garamond"/>
        </w:rPr>
        <w:t>66 (Autumn): 609-643.</w:t>
      </w:r>
    </w:p>
    <w:p w14:paraId="56FB2815"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2009a.  “Rethinking Political Structures:  From ‘Ordering Principles’ to ‘Vertical Differentiation’ – and </w:t>
      </w:r>
      <w:proofErr w:type="gramStart"/>
      <w:r w:rsidRPr="009F6B59">
        <w:rPr>
          <w:rFonts w:ascii="Garamond" w:hAnsi="Garamond"/>
        </w:rPr>
        <w:t>Beyond</w:t>
      </w:r>
      <w:proofErr w:type="gramEnd"/>
      <w:r w:rsidRPr="009F6B59">
        <w:rPr>
          <w:rFonts w:ascii="Garamond" w:hAnsi="Garamond"/>
        </w:rPr>
        <w:t xml:space="preserve">,” </w:t>
      </w:r>
      <w:r w:rsidRPr="009F6B59">
        <w:rPr>
          <w:rFonts w:ascii="Garamond" w:hAnsi="Garamond"/>
          <w:i/>
          <w:iCs/>
        </w:rPr>
        <w:t>International Theory</w:t>
      </w:r>
      <w:r w:rsidRPr="009F6B59">
        <w:rPr>
          <w:rFonts w:ascii="Garamond" w:hAnsi="Garamond"/>
        </w:rPr>
        <w:t xml:space="preserve"> 1 (March): 49-86.</w:t>
      </w:r>
    </w:p>
    <w:p w14:paraId="7C3DA13D"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2009b.  “</w:t>
      </w:r>
      <w:proofErr w:type="gramStart"/>
      <w:r w:rsidRPr="009F6B59">
        <w:rPr>
          <w:rFonts w:ascii="Garamond" w:hAnsi="Garamond"/>
        </w:rPr>
        <w:t>Yes</w:t>
      </w:r>
      <w:proofErr w:type="gramEnd"/>
      <w:r w:rsidRPr="009F6B59">
        <w:rPr>
          <w:rFonts w:ascii="Garamond" w:hAnsi="Garamond"/>
        </w:rPr>
        <w:t xml:space="preserve"> a Myth:  A Reply to Kirkup and Evans,” </w:t>
      </w:r>
      <w:r w:rsidRPr="009F6B59">
        <w:rPr>
          <w:rFonts w:ascii="Garamond" w:hAnsi="Garamond"/>
          <w:i/>
          <w:iCs/>
        </w:rPr>
        <w:t>Human Rights Quarterly</w:t>
      </w:r>
      <w:r w:rsidRPr="009F6B59">
        <w:rPr>
          <w:rFonts w:ascii="Garamond" w:hAnsi="Garamond"/>
        </w:rPr>
        <w:t xml:space="preserve"> 31 (February): 239-255 (co-author with Daniel Whelan).</w:t>
      </w:r>
    </w:p>
    <w:p w14:paraId="635FABC7"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2009c</w:t>
      </w:r>
      <w:r w:rsidRPr="009F6B59">
        <w:rPr>
          <w:rFonts w:ascii="Garamond" w:hAnsi="Garamond"/>
        </w:rPr>
        <w:t xml:space="preserve">.  “The Reality of Western Support for Human Rights:  A Reply to Susan L. Kang,” </w:t>
      </w:r>
      <w:r w:rsidRPr="009F6B59">
        <w:rPr>
          <w:rFonts w:ascii="Garamond" w:hAnsi="Garamond"/>
          <w:i/>
        </w:rPr>
        <w:t>Human Rights Quarterly</w:t>
      </w:r>
      <w:r w:rsidRPr="009F6B59">
        <w:rPr>
          <w:rFonts w:ascii="Garamond" w:hAnsi="Garamond"/>
        </w:rPr>
        <w:t xml:space="preserve"> 32 (November): 1030-1054 (co-author with Daniel Whelan).</w:t>
      </w:r>
    </w:p>
    <w:p w14:paraId="684DCCA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2008a.  “Human Rights:  Both Universal and Relative (A Reply to Michael Goodhart),” </w:t>
      </w:r>
      <w:r w:rsidRPr="009F6B59">
        <w:rPr>
          <w:rFonts w:ascii="Garamond" w:hAnsi="Garamond"/>
          <w:i/>
          <w:iCs/>
        </w:rPr>
        <w:t>Human Rights Quarterly</w:t>
      </w:r>
      <w:r w:rsidRPr="009F6B59">
        <w:rPr>
          <w:rFonts w:ascii="Garamond" w:hAnsi="Garamond"/>
        </w:rPr>
        <w:t xml:space="preserve"> 30 (February): 194-204.</w:t>
      </w:r>
    </w:p>
    <w:p w14:paraId="0BB0267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2008b.  “Human Rights and Social Provision,” </w:t>
      </w:r>
      <w:r w:rsidRPr="009F6B59">
        <w:rPr>
          <w:rFonts w:ascii="Garamond" w:hAnsi="Garamond"/>
          <w:i/>
          <w:iCs/>
        </w:rPr>
        <w:t>Journal of Human Rights</w:t>
      </w:r>
      <w:r w:rsidRPr="009F6B59">
        <w:rPr>
          <w:rFonts w:ascii="Garamond" w:hAnsi="Garamond"/>
        </w:rPr>
        <w:t xml:space="preserve"> 7 (June): 123-138.</w:t>
      </w:r>
    </w:p>
    <w:p w14:paraId="7FBF6A6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2007a.  “The Relative Universality of Human Rights,” </w:t>
      </w:r>
      <w:r w:rsidRPr="009F6B59">
        <w:rPr>
          <w:rFonts w:ascii="Garamond" w:hAnsi="Garamond"/>
          <w:i/>
          <w:iCs/>
        </w:rPr>
        <w:t>Human Rights Quarterly</w:t>
      </w:r>
      <w:r w:rsidRPr="009F6B59">
        <w:rPr>
          <w:rFonts w:ascii="Garamond" w:hAnsi="Garamond"/>
        </w:rPr>
        <w:t xml:space="preserve"> 29 (May): 281-306.</w:t>
      </w:r>
    </w:p>
    <w:p w14:paraId="6D61075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2007b.  “The West, Economic and Social Rights, and the Global Human Rights Regime:  Setting the Record Straight,” </w:t>
      </w:r>
      <w:r w:rsidRPr="009F6B59">
        <w:rPr>
          <w:rFonts w:ascii="Garamond" w:hAnsi="Garamond"/>
          <w:i/>
          <w:iCs/>
        </w:rPr>
        <w:t>Human Rights Quarterly</w:t>
      </w:r>
      <w:r w:rsidRPr="009F6B59">
        <w:rPr>
          <w:rFonts w:ascii="Garamond" w:hAnsi="Garamond"/>
        </w:rPr>
        <w:t xml:space="preserve"> 29 (November): 908-949 (co-author with Daniel Whelan).</w:t>
      </w:r>
    </w:p>
    <w:bookmarkEnd w:id="2"/>
    <w:bookmarkEnd w:id="3"/>
    <w:p w14:paraId="3E62A6D6"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2006a</w:t>
      </w:r>
      <w:r w:rsidRPr="009F6B59">
        <w:rPr>
          <w:rFonts w:ascii="Garamond" w:hAnsi="Garamond"/>
        </w:rPr>
        <w:t xml:space="preserve">.  “Sovereign Inequalities and Hierarchy in Anarchy:  American Power and International Society,” </w:t>
      </w:r>
      <w:r w:rsidRPr="009F6B59">
        <w:rPr>
          <w:rFonts w:ascii="Garamond" w:hAnsi="Garamond"/>
          <w:i/>
          <w:iCs/>
        </w:rPr>
        <w:t>European Journal of International Relations</w:t>
      </w:r>
      <w:r w:rsidRPr="009F6B59">
        <w:rPr>
          <w:rFonts w:ascii="Garamond" w:hAnsi="Garamond"/>
        </w:rPr>
        <w:t xml:space="preserve"> 12 (June): 139-170.</w:t>
      </w:r>
    </w:p>
    <w:p w14:paraId="69A735AF"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2002a</w:t>
      </w:r>
      <w:r w:rsidRPr="009F6B59">
        <w:rPr>
          <w:rFonts w:ascii="Garamond" w:hAnsi="Garamond"/>
        </w:rPr>
        <w:t xml:space="preserve">.  “Genocide and Humanitarian Intervention,” </w:t>
      </w:r>
      <w:r w:rsidRPr="009F6B59">
        <w:rPr>
          <w:rFonts w:ascii="Garamond" w:hAnsi="Garamond"/>
          <w:i/>
          <w:iCs/>
        </w:rPr>
        <w:t>Journal of Human Rights</w:t>
      </w:r>
      <w:r w:rsidRPr="009F6B59">
        <w:rPr>
          <w:rFonts w:ascii="Garamond" w:hAnsi="Garamond"/>
        </w:rPr>
        <w:t xml:space="preserve"> 1 (March): 93-109.</w:t>
      </w:r>
    </w:p>
    <w:p w14:paraId="4EC36186" w14:textId="77777777" w:rsidR="006756F2" w:rsidRPr="00106AFA" w:rsidRDefault="006756F2" w:rsidP="006756F2">
      <w:pPr>
        <w:pStyle w:val="NormalWeb"/>
        <w:spacing w:before="0" w:beforeAutospacing="0" w:after="120" w:afterAutospacing="0"/>
        <w:ind w:left="720"/>
        <w:rPr>
          <w:rFonts w:ascii="Garamond" w:hAnsi="Garamond"/>
          <w:lang w:val="es-ES"/>
        </w:rPr>
      </w:pPr>
      <w:r w:rsidRPr="00106AFA">
        <w:rPr>
          <w:rFonts w:ascii="Garamond" w:hAnsi="Garamond"/>
          <w:lang w:val="es-ES"/>
        </w:rPr>
        <w:t xml:space="preserve">2000a.  “Para Alem do Realismo e de </w:t>
      </w:r>
      <w:proofErr w:type="spellStart"/>
      <w:r w:rsidRPr="00106AFA">
        <w:rPr>
          <w:rFonts w:ascii="Garamond" w:hAnsi="Garamond"/>
          <w:lang w:val="es-ES"/>
        </w:rPr>
        <w:t>seus</w:t>
      </w:r>
      <w:proofErr w:type="spellEnd"/>
      <w:r w:rsidRPr="00106AFA">
        <w:rPr>
          <w:rFonts w:ascii="Garamond" w:hAnsi="Garamond"/>
          <w:lang w:val="es-ES"/>
        </w:rPr>
        <w:t xml:space="preserve"> </w:t>
      </w:r>
      <w:proofErr w:type="spellStart"/>
      <w:r w:rsidRPr="00106AFA">
        <w:rPr>
          <w:rFonts w:ascii="Garamond" w:hAnsi="Garamond"/>
          <w:lang w:val="es-ES"/>
        </w:rPr>
        <w:t>Criticos</w:t>
      </w:r>
      <w:proofErr w:type="spellEnd"/>
      <w:r w:rsidRPr="00106AFA">
        <w:rPr>
          <w:rFonts w:ascii="Garamond" w:hAnsi="Garamond"/>
          <w:lang w:val="es-ES"/>
        </w:rPr>
        <w:t xml:space="preserve">:  Novas Pesquisas Realistas e as </w:t>
      </w:r>
      <w:proofErr w:type="spellStart"/>
      <w:r w:rsidRPr="00106AFA">
        <w:rPr>
          <w:rFonts w:ascii="Garamond" w:hAnsi="Garamond"/>
          <w:lang w:val="es-ES"/>
        </w:rPr>
        <w:t>Possibilidades</w:t>
      </w:r>
      <w:proofErr w:type="spellEnd"/>
      <w:r w:rsidRPr="00106AFA">
        <w:rPr>
          <w:rFonts w:ascii="Garamond" w:hAnsi="Garamond"/>
          <w:lang w:val="es-ES"/>
        </w:rPr>
        <w:t xml:space="preserve"> para </w:t>
      </w:r>
      <w:proofErr w:type="spellStart"/>
      <w:r w:rsidRPr="00106AFA">
        <w:rPr>
          <w:rFonts w:ascii="Garamond" w:hAnsi="Garamond"/>
          <w:lang w:val="es-ES"/>
        </w:rPr>
        <w:t>um</w:t>
      </w:r>
      <w:proofErr w:type="spellEnd"/>
      <w:r w:rsidRPr="00106AFA">
        <w:rPr>
          <w:rFonts w:ascii="Garamond" w:hAnsi="Garamond"/>
          <w:lang w:val="es-ES"/>
        </w:rPr>
        <w:t xml:space="preserve"> </w:t>
      </w:r>
      <w:proofErr w:type="spellStart"/>
      <w:r w:rsidRPr="00106AFA">
        <w:rPr>
          <w:rFonts w:ascii="Garamond" w:hAnsi="Garamond"/>
          <w:lang w:val="es-ES"/>
        </w:rPr>
        <w:t>Engajamento</w:t>
      </w:r>
      <w:proofErr w:type="spellEnd"/>
      <w:r w:rsidRPr="00106AFA">
        <w:rPr>
          <w:rFonts w:ascii="Garamond" w:hAnsi="Garamond"/>
          <w:lang w:val="es-ES"/>
        </w:rPr>
        <w:t xml:space="preserve"> Constructivo,” </w:t>
      </w:r>
      <w:r w:rsidRPr="00106AFA">
        <w:rPr>
          <w:rFonts w:ascii="Garamond" w:hAnsi="Garamond"/>
          <w:i/>
          <w:iCs/>
          <w:lang w:val="es-ES"/>
        </w:rPr>
        <w:t>Contexto Internacional</w:t>
      </w:r>
      <w:r w:rsidRPr="00106AFA">
        <w:rPr>
          <w:rFonts w:ascii="Garamond" w:hAnsi="Garamond"/>
          <w:lang w:val="es-ES"/>
        </w:rPr>
        <w:t xml:space="preserve"> 22 (Janeiro/</w:t>
      </w:r>
      <w:proofErr w:type="spellStart"/>
      <w:r w:rsidRPr="00106AFA">
        <w:rPr>
          <w:rFonts w:ascii="Garamond" w:hAnsi="Garamond"/>
          <w:lang w:val="es-ES"/>
        </w:rPr>
        <w:t>Junho</w:t>
      </w:r>
      <w:proofErr w:type="spellEnd"/>
      <w:r w:rsidRPr="00106AFA">
        <w:rPr>
          <w:rFonts w:ascii="Garamond" w:hAnsi="Garamond"/>
          <w:lang w:val="es-ES"/>
        </w:rPr>
        <w:t>): 137-190.</w:t>
      </w:r>
    </w:p>
    <w:p w14:paraId="3881418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1999a</w:t>
      </w:r>
      <w:r w:rsidRPr="009F6B59">
        <w:rPr>
          <w:rFonts w:ascii="Garamond" w:hAnsi="Garamond"/>
        </w:rPr>
        <w:t xml:space="preserve">. “Human Rights, Democracy, and Development,” </w:t>
      </w:r>
      <w:r w:rsidRPr="009F6B59">
        <w:rPr>
          <w:rFonts w:ascii="Garamond" w:hAnsi="Garamond"/>
          <w:i/>
          <w:iCs/>
        </w:rPr>
        <w:t>Human Rights Quarterly</w:t>
      </w:r>
      <w:r>
        <w:rPr>
          <w:rFonts w:ascii="Garamond" w:hAnsi="Garamond"/>
        </w:rPr>
        <w:t xml:space="preserve"> </w:t>
      </w:r>
      <w:r w:rsidRPr="009F6B59">
        <w:rPr>
          <w:rFonts w:ascii="Garamond" w:hAnsi="Garamond"/>
        </w:rPr>
        <w:t>21 (August): 608-632.</w:t>
      </w:r>
    </w:p>
    <w:p w14:paraId="51BC78F7"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lastRenderedPageBreak/>
        <w:t xml:space="preserve">1998a. “Human Rights: A New Standard of Civilization?” </w:t>
      </w:r>
      <w:r w:rsidRPr="009F6B59">
        <w:rPr>
          <w:rFonts w:ascii="Garamond" w:hAnsi="Garamond"/>
          <w:i/>
          <w:iCs/>
        </w:rPr>
        <w:t>International Affairs</w:t>
      </w:r>
      <w:r w:rsidRPr="009F6B59">
        <w:rPr>
          <w:rFonts w:ascii="Garamond" w:hAnsi="Garamond"/>
        </w:rPr>
        <w:t xml:space="preserve"> 74 (January): 1-24</w:t>
      </w:r>
    </w:p>
    <w:p w14:paraId="4679852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1998b. “Unfinished Business,” </w:t>
      </w:r>
      <w:r w:rsidRPr="009F6B59">
        <w:rPr>
          <w:rFonts w:ascii="Garamond" w:hAnsi="Garamond"/>
          <w:i/>
          <w:iCs/>
        </w:rPr>
        <w:t>PS: Political Science and Politics</w:t>
      </w:r>
      <w:r>
        <w:rPr>
          <w:rFonts w:ascii="Garamond" w:hAnsi="Garamond"/>
          <w:i/>
          <w:iCs/>
        </w:rPr>
        <w:t xml:space="preserve"> </w:t>
      </w:r>
      <w:r w:rsidRPr="009F6B59">
        <w:rPr>
          <w:rFonts w:ascii="Garamond" w:hAnsi="Garamond"/>
        </w:rPr>
        <w:t xml:space="preserve">1 (September): 530-536. </w:t>
      </w:r>
    </w:p>
    <w:p w14:paraId="3EF618D0"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1998c. “Realism: Roots and Renewal,” (review essay) </w:t>
      </w:r>
      <w:r w:rsidRPr="009F6B59">
        <w:rPr>
          <w:rFonts w:ascii="Garamond" w:hAnsi="Garamond"/>
          <w:i/>
          <w:iCs/>
        </w:rPr>
        <w:t>Review of International Studies</w:t>
      </w:r>
      <w:r w:rsidRPr="009F6B59">
        <w:rPr>
          <w:rFonts w:ascii="Garamond" w:hAnsi="Garamond"/>
        </w:rPr>
        <w:t xml:space="preserve"> 24:399-405. </w:t>
      </w:r>
    </w:p>
    <w:p w14:paraId="0222AFC5"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1997a</w:t>
      </w:r>
      <w:r w:rsidRPr="009F6B59">
        <w:rPr>
          <w:rFonts w:ascii="Garamond" w:hAnsi="Garamond"/>
        </w:rPr>
        <w:t xml:space="preserve">. “Conversing with Straw Men While Ignoring Dictators: A Reply to Roger Ames,” </w:t>
      </w:r>
      <w:r w:rsidRPr="009F6B59">
        <w:rPr>
          <w:rFonts w:ascii="Garamond" w:hAnsi="Garamond"/>
          <w:i/>
          <w:iCs/>
        </w:rPr>
        <w:t>Ethics and International Affairs</w:t>
      </w:r>
      <w:r w:rsidRPr="009F6B59">
        <w:rPr>
          <w:rFonts w:ascii="Garamond" w:hAnsi="Garamond"/>
        </w:rPr>
        <w:t xml:space="preserve"> 11: 207-214. </w:t>
      </w:r>
    </w:p>
    <w:p w14:paraId="07BDC1A2"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1996a. “Rethinking Human Rights,” </w:t>
      </w:r>
      <w:r w:rsidRPr="009F6B59">
        <w:rPr>
          <w:rFonts w:ascii="Garamond" w:hAnsi="Garamond"/>
          <w:i/>
          <w:iCs/>
        </w:rPr>
        <w:t>Current History</w:t>
      </w:r>
      <w:r w:rsidRPr="009F6B59">
        <w:rPr>
          <w:rFonts w:ascii="Garamond" w:hAnsi="Garamond"/>
        </w:rPr>
        <w:t xml:space="preserve"> 95 (November): 387-391. </w:t>
      </w:r>
    </w:p>
    <w:p w14:paraId="15BA05A6"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1996b. “Human Rights and Asian Values,” </w:t>
      </w:r>
      <w:proofErr w:type="spellStart"/>
      <w:r w:rsidRPr="009F6B59">
        <w:rPr>
          <w:rFonts w:ascii="Garamond" w:hAnsi="Garamond"/>
          <w:i/>
          <w:iCs/>
        </w:rPr>
        <w:t>Sasang</w:t>
      </w:r>
      <w:proofErr w:type="spellEnd"/>
      <w:r w:rsidRPr="009F6B59">
        <w:rPr>
          <w:rFonts w:ascii="Garamond" w:hAnsi="Garamond"/>
        </w:rPr>
        <w:t xml:space="preserve"> (Fall): 28-45 (in Korean). </w:t>
      </w:r>
    </w:p>
    <w:p w14:paraId="1C7778B4"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1994a</w:t>
      </w:r>
      <w:r w:rsidRPr="009F6B59">
        <w:rPr>
          <w:rFonts w:ascii="Garamond" w:hAnsi="Garamond"/>
        </w:rPr>
        <w:t xml:space="preserve">. “Post-Cold War Reflections on International Human Rights,” </w:t>
      </w:r>
      <w:r w:rsidRPr="009F6B59">
        <w:rPr>
          <w:rFonts w:ascii="Garamond" w:hAnsi="Garamond"/>
          <w:i/>
          <w:iCs/>
        </w:rPr>
        <w:t>Ethics and International Affairs</w:t>
      </w:r>
      <w:r w:rsidRPr="009F6B59">
        <w:rPr>
          <w:rFonts w:ascii="Garamond" w:hAnsi="Garamond"/>
        </w:rPr>
        <w:t xml:space="preserve"> 8: 97-118. </w:t>
      </w:r>
    </w:p>
    <w:p w14:paraId="2E5E5FF4"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1993a</w:t>
      </w:r>
      <w:r w:rsidRPr="009F6B59">
        <w:rPr>
          <w:rFonts w:ascii="Garamond" w:hAnsi="Garamond"/>
        </w:rPr>
        <w:t xml:space="preserve">. “Human Rights, Humanitarian Crisis, and Humanitarian Intervention,” </w:t>
      </w:r>
      <w:r w:rsidRPr="009F6B59">
        <w:rPr>
          <w:rFonts w:ascii="Garamond" w:hAnsi="Garamond"/>
          <w:i/>
          <w:iCs/>
        </w:rPr>
        <w:t>International Journal</w:t>
      </w:r>
      <w:r w:rsidRPr="009F6B59">
        <w:rPr>
          <w:rFonts w:ascii="Garamond" w:hAnsi="Garamond"/>
        </w:rPr>
        <w:t xml:space="preserve"> 48 (Autumn): 607-640. </w:t>
      </w:r>
    </w:p>
    <w:p w14:paraId="7593EB9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1992a. “Human Rights in the New World Order,” </w:t>
      </w:r>
      <w:r w:rsidRPr="009F6B59">
        <w:rPr>
          <w:rFonts w:ascii="Garamond" w:hAnsi="Garamond"/>
          <w:i/>
          <w:iCs/>
        </w:rPr>
        <w:t>World Policy Journal</w:t>
      </w:r>
      <w:r w:rsidRPr="009F6B59">
        <w:rPr>
          <w:rFonts w:ascii="Garamond" w:hAnsi="Garamond"/>
        </w:rPr>
        <w:t xml:space="preserve"> 9 (Spring): 249-77. </w:t>
      </w:r>
    </w:p>
    <w:p w14:paraId="46C10CA7"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1990a. “Global Policy Studies: A Skeptical View,” </w:t>
      </w:r>
      <w:r w:rsidRPr="009F6B59">
        <w:rPr>
          <w:rFonts w:ascii="Garamond" w:hAnsi="Garamond"/>
          <w:i/>
          <w:iCs/>
        </w:rPr>
        <w:t>Journal of Peace Research</w:t>
      </w:r>
      <w:r w:rsidRPr="009F6B59">
        <w:rPr>
          <w:rFonts w:ascii="Garamond" w:hAnsi="Garamond"/>
        </w:rPr>
        <w:t xml:space="preserve"> 27 (May): 221-30. </w:t>
      </w:r>
    </w:p>
    <w:p w14:paraId="770F455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1988a. “Assessing National Human Rights Performance: A Theoretical Framework,” </w:t>
      </w:r>
      <w:r w:rsidRPr="009F6B59">
        <w:rPr>
          <w:rFonts w:ascii="Garamond" w:hAnsi="Garamond"/>
          <w:i/>
          <w:iCs/>
        </w:rPr>
        <w:t>Human Rights Quarterly</w:t>
      </w:r>
      <w:r w:rsidRPr="009F6B59">
        <w:rPr>
          <w:rFonts w:ascii="Garamond" w:hAnsi="Garamond"/>
        </w:rPr>
        <w:t xml:space="preserve"> 10 (May): 214-48 (co-author with Rhoda E. Howard). </w:t>
      </w:r>
    </w:p>
    <w:p w14:paraId="1FE449A4"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1988b. “Human Rights at the UN, 1955-85: The Question of Bias,” </w:t>
      </w:r>
      <w:r w:rsidRPr="009F6B59">
        <w:rPr>
          <w:rFonts w:ascii="Garamond" w:hAnsi="Garamond"/>
          <w:i/>
          <w:iCs/>
        </w:rPr>
        <w:t>International Studies Quarterly</w:t>
      </w:r>
      <w:r w:rsidRPr="009F6B59">
        <w:rPr>
          <w:rFonts w:ascii="Garamond" w:hAnsi="Garamond"/>
        </w:rPr>
        <w:t xml:space="preserve"> 32 (September): 275-303. </w:t>
      </w:r>
    </w:p>
    <w:p w14:paraId="13E9D80C"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1988c. “Human Rights: The Impact of International Action,” </w:t>
      </w:r>
      <w:r w:rsidRPr="009F6B59">
        <w:rPr>
          <w:rFonts w:ascii="Garamond" w:hAnsi="Garamond"/>
          <w:i/>
          <w:iCs/>
        </w:rPr>
        <w:t>International Journal</w:t>
      </w:r>
      <w:r w:rsidRPr="009F6B59">
        <w:rPr>
          <w:rFonts w:ascii="Garamond" w:hAnsi="Garamond"/>
        </w:rPr>
        <w:t xml:space="preserve"> 43 (Spring): 241-63. </w:t>
      </w:r>
    </w:p>
    <w:p w14:paraId="0D11F212"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1987</w:t>
      </w:r>
      <w:r>
        <w:rPr>
          <w:rFonts w:ascii="Garamond" w:hAnsi="Garamond"/>
        </w:rPr>
        <w:t>a</w:t>
      </w:r>
      <w:r w:rsidRPr="009F6B59">
        <w:rPr>
          <w:rFonts w:ascii="Garamond" w:hAnsi="Garamond"/>
        </w:rPr>
        <w:t xml:space="preserve">. “Reply to Mitchell,” </w:t>
      </w:r>
      <w:r w:rsidRPr="009F6B59">
        <w:rPr>
          <w:rFonts w:ascii="Garamond" w:hAnsi="Garamond"/>
          <w:i/>
          <w:iCs/>
        </w:rPr>
        <w:t>American Political Science Review</w:t>
      </w:r>
      <w:r w:rsidRPr="009F6B59">
        <w:rPr>
          <w:rFonts w:ascii="Garamond" w:hAnsi="Garamond"/>
        </w:rPr>
        <w:t xml:space="preserve"> 81 (September): 924-27 (co-author with Rhoda E. Howard). </w:t>
      </w:r>
    </w:p>
    <w:p w14:paraId="04804860"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1986a. “The Emerging International Regime against Torture,” </w:t>
      </w:r>
      <w:r w:rsidRPr="009F6B59">
        <w:rPr>
          <w:rFonts w:ascii="Garamond" w:hAnsi="Garamond"/>
          <w:i/>
          <w:iCs/>
        </w:rPr>
        <w:t>Netherlands International Law Review</w:t>
      </w:r>
      <w:r w:rsidRPr="009F6B59">
        <w:rPr>
          <w:rFonts w:ascii="Garamond" w:hAnsi="Garamond"/>
        </w:rPr>
        <w:t xml:space="preserve"> 33: 1-23. </w:t>
      </w:r>
    </w:p>
    <w:p w14:paraId="4865485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1986b. “Human Dignity, Human Rights and Political Regimes,” </w:t>
      </w:r>
      <w:r w:rsidRPr="009F6B59">
        <w:rPr>
          <w:rFonts w:ascii="Garamond" w:hAnsi="Garamond"/>
          <w:i/>
          <w:iCs/>
        </w:rPr>
        <w:t>American Political Science Review</w:t>
      </w:r>
      <w:r w:rsidRPr="009F6B59">
        <w:rPr>
          <w:rFonts w:ascii="Garamond" w:hAnsi="Garamond"/>
        </w:rPr>
        <w:t xml:space="preserve"> 80 (September): 801-17 (co-author with Rhoda E. Howard). </w:t>
      </w:r>
    </w:p>
    <w:p w14:paraId="7094232A"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1986c. “International Human Rights: A Regime Analysis,” </w:t>
      </w:r>
      <w:r w:rsidRPr="009F6B59">
        <w:rPr>
          <w:rFonts w:ascii="Garamond" w:hAnsi="Garamond"/>
          <w:i/>
          <w:iCs/>
        </w:rPr>
        <w:t>International Organization</w:t>
      </w:r>
      <w:r w:rsidRPr="009F6B59">
        <w:rPr>
          <w:rFonts w:ascii="Garamond" w:hAnsi="Garamond"/>
        </w:rPr>
        <w:t xml:space="preserve"> 40 (Summer): 599-642. </w:t>
      </w:r>
    </w:p>
    <w:p w14:paraId="7E15F6FE"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1985a. “The Force of Rights: Parent on 'Moral Specification,</w:t>
      </w:r>
      <w:proofErr w:type="gramStart"/>
      <w:r w:rsidRPr="009F6B59">
        <w:rPr>
          <w:rFonts w:ascii="Garamond" w:hAnsi="Garamond"/>
        </w:rPr>
        <w:t xml:space="preserve">'“ </w:t>
      </w:r>
      <w:r w:rsidRPr="009F6B59">
        <w:rPr>
          <w:rFonts w:ascii="Garamond" w:hAnsi="Garamond"/>
          <w:i/>
          <w:iCs/>
        </w:rPr>
        <w:t>Philosophical</w:t>
      </w:r>
      <w:proofErr w:type="gramEnd"/>
      <w:r w:rsidRPr="009F6B59">
        <w:rPr>
          <w:rFonts w:ascii="Garamond" w:hAnsi="Garamond"/>
          <w:i/>
          <w:iCs/>
        </w:rPr>
        <w:t xml:space="preserve"> Studies</w:t>
      </w:r>
      <w:r w:rsidRPr="009F6B59">
        <w:rPr>
          <w:rFonts w:ascii="Garamond" w:hAnsi="Garamond"/>
        </w:rPr>
        <w:t xml:space="preserve"> 47 (January): 131-39. </w:t>
      </w:r>
    </w:p>
    <w:p w14:paraId="2BB16E7A"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1985b. “In Search of the Unicorn: The Jurisprudence of the Right to Development,” and “The Theology of the Right to Development: A Reply to Alston,” </w:t>
      </w:r>
      <w:r w:rsidRPr="009F6B59">
        <w:rPr>
          <w:rFonts w:ascii="Garamond" w:hAnsi="Garamond"/>
          <w:i/>
          <w:iCs/>
        </w:rPr>
        <w:t>California Western International Law Journal</w:t>
      </w:r>
      <w:r w:rsidRPr="009F6B59">
        <w:rPr>
          <w:rFonts w:ascii="Garamond" w:hAnsi="Garamond"/>
        </w:rPr>
        <w:t xml:space="preserve"> 15 (Summer): 473-509, 519-23. </w:t>
      </w:r>
    </w:p>
    <w:p w14:paraId="50E8101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1985c. “Satisfying Basic Needs in Africa: Human Rights, Markets and the State,” </w:t>
      </w:r>
      <w:r w:rsidRPr="009F6B59">
        <w:rPr>
          <w:rFonts w:ascii="Garamond" w:hAnsi="Garamond"/>
          <w:i/>
          <w:iCs/>
        </w:rPr>
        <w:t>Africa Today</w:t>
      </w:r>
      <w:r w:rsidRPr="009F6B59">
        <w:rPr>
          <w:rFonts w:ascii="Garamond" w:hAnsi="Garamond"/>
        </w:rPr>
        <w:t xml:space="preserve"> 32: 7-24. </w:t>
      </w:r>
    </w:p>
    <w:p w14:paraId="71BD3C8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1984a. “Cultural Relativism and Universal Human Rights,” </w:t>
      </w:r>
      <w:r w:rsidRPr="009F6B59">
        <w:rPr>
          <w:rFonts w:ascii="Garamond" w:hAnsi="Garamond"/>
          <w:i/>
          <w:iCs/>
        </w:rPr>
        <w:t>Human Rights Quarterly</w:t>
      </w:r>
      <w:r w:rsidRPr="009F6B59">
        <w:rPr>
          <w:rFonts w:ascii="Garamond" w:hAnsi="Garamond"/>
        </w:rPr>
        <w:t xml:space="preserve"> 6 (November): 400-419. </w:t>
      </w:r>
    </w:p>
    <w:p w14:paraId="03C81DE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lastRenderedPageBreak/>
        <w:t xml:space="preserve">1984b. “Human Rights and Development: Complementary or Competing Concerns?” </w:t>
      </w:r>
      <w:r w:rsidRPr="009F6B59">
        <w:rPr>
          <w:rFonts w:ascii="Garamond" w:hAnsi="Garamond"/>
          <w:i/>
          <w:iCs/>
        </w:rPr>
        <w:t>World Politics</w:t>
      </w:r>
      <w:r w:rsidRPr="009F6B59">
        <w:rPr>
          <w:rFonts w:ascii="Garamond" w:hAnsi="Garamond"/>
        </w:rPr>
        <w:t xml:space="preserve"> 36 (January): 255-83. </w:t>
      </w:r>
    </w:p>
    <w:p w14:paraId="2F2EE694"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1984c. “Human Rights, Humanitarian Intervention, and American Foreign Policy: Law, Morality and Politics,” </w:t>
      </w:r>
      <w:r w:rsidRPr="009F6B59">
        <w:rPr>
          <w:rFonts w:ascii="Garamond" w:hAnsi="Garamond"/>
          <w:i/>
          <w:iCs/>
        </w:rPr>
        <w:t>Journal of International Affairs</w:t>
      </w:r>
      <w:r w:rsidRPr="009F6B59">
        <w:rPr>
          <w:rFonts w:ascii="Garamond" w:hAnsi="Garamond"/>
        </w:rPr>
        <w:t xml:space="preserve"> 37 (Winter): 311-28. </w:t>
      </w:r>
    </w:p>
    <w:p w14:paraId="35508B3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1983. “The Human Rights Priorities of the UN: A Rejoinder to Alston,” </w:t>
      </w:r>
      <w:r w:rsidRPr="009F6B59">
        <w:rPr>
          <w:rFonts w:ascii="Garamond" w:hAnsi="Garamond"/>
          <w:i/>
          <w:iCs/>
        </w:rPr>
        <w:t>International Organization</w:t>
      </w:r>
      <w:r w:rsidRPr="009F6B59">
        <w:rPr>
          <w:rFonts w:ascii="Garamond" w:hAnsi="Garamond"/>
        </w:rPr>
        <w:t xml:space="preserve"> 37 (Summer): 547-50. </w:t>
      </w:r>
    </w:p>
    <w:p w14:paraId="6DF89EF4"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1982a. “How Are Rights and Duties Correlative?” </w:t>
      </w:r>
      <w:r w:rsidRPr="009F6B59">
        <w:rPr>
          <w:rFonts w:ascii="Garamond" w:hAnsi="Garamond"/>
          <w:i/>
          <w:iCs/>
        </w:rPr>
        <w:t>Journal of Value Inquiry</w:t>
      </w:r>
      <w:r w:rsidRPr="009F6B59">
        <w:rPr>
          <w:rFonts w:ascii="Garamond" w:hAnsi="Garamond"/>
        </w:rPr>
        <w:t xml:space="preserve"> 16: 287-97. </w:t>
      </w:r>
    </w:p>
    <w:p w14:paraId="75F6F3C5"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1982b. “Human Rights and Foreign Policy,” </w:t>
      </w:r>
      <w:r w:rsidRPr="009F6B59">
        <w:rPr>
          <w:rFonts w:ascii="Garamond" w:hAnsi="Garamond"/>
          <w:i/>
          <w:iCs/>
        </w:rPr>
        <w:t>World Politics</w:t>
      </w:r>
      <w:r w:rsidRPr="009F6B59">
        <w:rPr>
          <w:rFonts w:ascii="Garamond" w:hAnsi="Garamond"/>
        </w:rPr>
        <w:t xml:space="preserve"> 34 (July): 574-95. </w:t>
      </w:r>
    </w:p>
    <w:p w14:paraId="1DF2B39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1982c. “Human Rights and Human Dignity: An Analytic Critique of Non-Western Human Rights Conceptions,” </w:t>
      </w:r>
      <w:r w:rsidRPr="009F6B59">
        <w:rPr>
          <w:rFonts w:ascii="Garamond" w:hAnsi="Garamond"/>
          <w:i/>
          <w:iCs/>
        </w:rPr>
        <w:t>American Political Science Review</w:t>
      </w:r>
      <w:r w:rsidRPr="009F6B59">
        <w:rPr>
          <w:rFonts w:ascii="Garamond" w:hAnsi="Garamond"/>
        </w:rPr>
        <w:t xml:space="preserve"> 76 (June): 303-16. </w:t>
      </w:r>
    </w:p>
    <w:p w14:paraId="02E09EC5"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1982d. “Human Rights as Natural Rights,” </w:t>
      </w:r>
      <w:r w:rsidRPr="009F6B59">
        <w:rPr>
          <w:rFonts w:ascii="Garamond" w:hAnsi="Garamond"/>
          <w:i/>
          <w:iCs/>
        </w:rPr>
        <w:t>Human Rights Quarterly</w:t>
      </w:r>
      <w:r w:rsidRPr="009F6B59">
        <w:rPr>
          <w:rFonts w:ascii="Garamond" w:hAnsi="Garamond"/>
        </w:rPr>
        <w:t xml:space="preserve"> 4 (August): 391-405. </w:t>
      </w:r>
    </w:p>
    <w:p w14:paraId="7E37A927"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1981. “Recent Trends in UN Human Rights Activity: Description and Polemic,” </w:t>
      </w:r>
      <w:r w:rsidRPr="009F6B59">
        <w:rPr>
          <w:rFonts w:ascii="Garamond" w:hAnsi="Garamond"/>
          <w:i/>
          <w:iCs/>
        </w:rPr>
        <w:t>International Organization</w:t>
      </w:r>
      <w:r w:rsidRPr="009F6B59">
        <w:rPr>
          <w:rFonts w:ascii="Garamond" w:hAnsi="Garamond"/>
        </w:rPr>
        <w:t xml:space="preserve"> 35 (Autumn): 633-55. </w:t>
      </w:r>
    </w:p>
    <w:p w14:paraId="38614936" w14:textId="77777777" w:rsidR="006756F2"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1980. “Natural Law and Right in Aquinas' Political Thought,” </w:t>
      </w:r>
      <w:r w:rsidRPr="009F6B59">
        <w:rPr>
          <w:rFonts w:ascii="Garamond" w:hAnsi="Garamond"/>
          <w:i/>
          <w:iCs/>
        </w:rPr>
        <w:t>Western Political Quarterly</w:t>
      </w:r>
      <w:r w:rsidRPr="009F6B59">
        <w:rPr>
          <w:rFonts w:ascii="Garamond" w:hAnsi="Garamond"/>
        </w:rPr>
        <w:t xml:space="preserve"> 33 (December): 520-35. </w:t>
      </w:r>
    </w:p>
    <w:p w14:paraId="074279C2" w14:textId="77777777" w:rsidR="006756F2" w:rsidRDefault="006756F2" w:rsidP="006756F2">
      <w:pPr>
        <w:spacing w:before="240"/>
        <w:rPr>
          <w:b/>
          <w:bCs/>
          <w:sz w:val="27"/>
          <w:szCs w:val="27"/>
        </w:rPr>
      </w:pPr>
      <w:r w:rsidRPr="009F6B59">
        <w:rPr>
          <w:b/>
          <w:bCs/>
          <w:sz w:val="27"/>
          <w:szCs w:val="27"/>
        </w:rPr>
        <w:t>Book Chapters</w:t>
      </w:r>
    </w:p>
    <w:p w14:paraId="030236B7" w14:textId="171CE82B" w:rsidR="005E3442" w:rsidRPr="009F6B59" w:rsidRDefault="005E3442" w:rsidP="005E3442">
      <w:pPr>
        <w:pStyle w:val="NormalWeb"/>
        <w:spacing w:before="0" w:beforeAutospacing="0" w:after="120" w:afterAutospacing="0"/>
        <w:ind w:left="720"/>
        <w:rPr>
          <w:rFonts w:ascii="Garamond" w:hAnsi="Garamond"/>
        </w:rPr>
      </w:pPr>
      <w:proofErr w:type="gramStart"/>
      <w:r>
        <w:rPr>
          <w:rFonts w:ascii="Garamond" w:hAnsi="Garamond"/>
        </w:rPr>
        <w:t>2022</w:t>
      </w:r>
      <w:r w:rsidRPr="009F6B59">
        <w:rPr>
          <w:rFonts w:ascii="Garamond" w:hAnsi="Garamond"/>
        </w:rPr>
        <w:t>.</w:t>
      </w:r>
      <w:r>
        <w:rPr>
          <w:rFonts w:ascii="Garamond" w:hAnsi="Garamond"/>
        </w:rPr>
        <w:t xml:space="preserve">  </w:t>
      </w:r>
      <w:r w:rsidRPr="009F6B59">
        <w:rPr>
          <w:rFonts w:ascii="Garamond" w:hAnsi="Garamond"/>
        </w:rPr>
        <w:t>“</w:t>
      </w:r>
      <w:proofErr w:type="gramEnd"/>
      <w:r w:rsidRPr="009F6B59">
        <w:rPr>
          <w:rFonts w:ascii="Garamond" w:hAnsi="Garamond"/>
        </w:rPr>
        <w:t xml:space="preserve">Realism.”  In Scott Burchill and Andrew Linklater, eds.  </w:t>
      </w:r>
      <w:r w:rsidRPr="009F6B59">
        <w:rPr>
          <w:rFonts w:ascii="Garamond" w:hAnsi="Garamond"/>
          <w:i/>
          <w:iCs/>
        </w:rPr>
        <w:t>Theories of International Relations</w:t>
      </w:r>
      <w:r w:rsidRPr="009F6B59">
        <w:rPr>
          <w:rFonts w:ascii="Garamond" w:hAnsi="Garamond"/>
        </w:rPr>
        <w:t xml:space="preserve"> </w:t>
      </w:r>
      <w:r w:rsidR="008400A7">
        <w:rPr>
          <w:rFonts w:ascii="Garamond" w:hAnsi="Garamond"/>
        </w:rPr>
        <w:t>6</w:t>
      </w:r>
      <w:r w:rsidRPr="009F6B59">
        <w:rPr>
          <w:rFonts w:ascii="Garamond" w:hAnsi="Garamond"/>
          <w:vertAlign w:val="superscript"/>
        </w:rPr>
        <w:t>th</w:t>
      </w:r>
      <w:r w:rsidRPr="009F6B59">
        <w:rPr>
          <w:rFonts w:ascii="Garamond" w:hAnsi="Garamond"/>
        </w:rPr>
        <w:t xml:space="preserve"> ed.  </w:t>
      </w:r>
      <w:r w:rsidR="008400A7">
        <w:rPr>
          <w:rFonts w:ascii="Garamond" w:hAnsi="Garamond"/>
        </w:rPr>
        <w:t xml:space="preserve">London:  Bloomsbury Academic. </w:t>
      </w:r>
      <w:r>
        <w:rPr>
          <w:rFonts w:ascii="Garamond" w:hAnsi="Garamond"/>
        </w:rPr>
        <w:t xml:space="preserve"> (5</w:t>
      </w:r>
      <w:r w:rsidRPr="004B746F">
        <w:rPr>
          <w:rFonts w:ascii="Garamond" w:hAnsi="Garamond"/>
          <w:vertAlign w:val="superscript"/>
        </w:rPr>
        <w:t>th</w:t>
      </w:r>
      <w:r>
        <w:rPr>
          <w:rFonts w:ascii="Garamond" w:hAnsi="Garamond"/>
        </w:rPr>
        <w:t xml:space="preserve"> ed. 2013, 4</w:t>
      </w:r>
      <w:r w:rsidRPr="00B950B4">
        <w:rPr>
          <w:rFonts w:ascii="Garamond" w:hAnsi="Garamond"/>
          <w:vertAlign w:val="superscript"/>
        </w:rPr>
        <w:t>th</w:t>
      </w:r>
      <w:r>
        <w:rPr>
          <w:rFonts w:ascii="Garamond" w:hAnsi="Garamond"/>
        </w:rPr>
        <w:t xml:space="preserve"> ed. 2009, 3</w:t>
      </w:r>
      <w:r w:rsidRPr="00B950B4">
        <w:rPr>
          <w:rFonts w:ascii="Garamond" w:hAnsi="Garamond"/>
          <w:vertAlign w:val="superscript"/>
        </w:rPr>
        <w:t>rd</w:t>
      </w:r>
      <w:r>
        <w:rPr>
          <w:rFonts w:ascii="Garamond" w:hAnsi="Garamond"/>
        </w:rPr>
        <w:t xml:space="preserve"> ed. 2005.)</w:t>
      </w:r>
    </w:p>
    <w:p w14:paraId="1C45B27D" w14:textId="77777777" w:rsidR="006756F2" w:rsidRPr="00847F24" w:rsidRDefault="006756F2" w:rsidP="006756F2">
      <w:pPr>
        <w:pStyle w:val="NormalWeb"/>
        <w:spacing w:before="0" w:beforeAutospacing="0" w:after="120" w:afterAutospacing="0"/>
        <w:ind w:left="720"/>
        <w:rPr>
          <w:rFonts w:ascii="Garamond" w:hAnsi="Garamond"/>
        </w:rPr>
      </w:pPr>
      <w:proofErr w:type="gramStart"/>
      <w:r>
        <w:rPr>
          <w:rFonts w:ascii="Garamond" w:hAnsi="Garamond"/>
        </w:rPr>
        <w:t>2019.  “</w:t>
      </w:r>
      <w:proofErr w:type="gramEnd"/>
      <w:r>
        <w:rPr>
          <w:rFonts w:ascii="Garamond" w:hAnsi="Garamond"/>
        </w:rPr>
        <w:t xml:space="preserve">What Do We Mean by Realism?  And </w:t>
      </w:r>
      <w:proofErr w:type="gramStart"/>
      <w:r>
        <w:rPr>
          <w:rFonts w:ascii="Garamond" w:hAnsi="Garamond"/>
        </w:rPr>
        <w:t>How</w:t>
      </w:r>
      <w:proofErr w:type="gramEnd"/>
      <w:r>
        <w:rPr>
          <w:rFonts w:ascii="Garamond" w:hAnsi="Garamond"/>
        </w:rPr>
        <w:t xml:space="preserve"> – and What – Does Realism Explain?”  In Roberto Belloni, Vincent Della Sala, and Paul </w:t>
      </w:r>
      <w:proofErr w:type="spellStart"/>
      <w:r>
        <w:rPr>
          <w:rFonts w:ascii="Garamond" w:hAnsi="Garamond"/>
        </w:rPr>
        <w:t>Viotti</w:t>
      </w:r>
      <w:proofErr w:type="spellEnd"/>
      <w:r>
        <w:rPr>
          <w:rFonts w:ascii="Garamond" w:hAnsi="Garamond"/>
        </w:rPr>
        <w:t xml:space="preserve">, eds. </w:t>
      </w:r>
      <w:r>
        <w:rPr>
          <w:rFonts w:ascii="Garamond" w:hAnsi="Garamond"/>
          <w:i/>
        </w:rPr>
        <w:t>Fear and Uncertainty in Europe:  The Return of Realism</w:t>
      </w:r>
      <w:r>
        <w:rPr>
          <w:rFonts w:ascii="Garamond" w:hAnsi="Garamond"/>
        </w:rPr>
        <w:t>.  London:  Palgrave Macmillan.</w:t>
      </w:r>
    </w:p>
    <w:p w14:paraId="38DD22ED" w14:textId="77777777" w:rsidR="006756F2" w:rsidRPr="00FB48D1" w:rsidRDefault="006756F2" w:rsidP="006756F2">
      <w:pPr>
        <w:pStyle w:val="NormalWeb"/>
        <w:spacing w:before="0" w:beforeAutospacing="0" w:after="120" w:afterAutospacing="0"/>
        <w:ind w:left="720"/>
        <w:rPr>
          <w:rFonts w:ascii="Garamond" w:hAnsi="Garamond"/>
        </w:rPr>
      </w:pPr>
      <w:proofErr w:type="gramStart"/>
      <w:r>
        <w:rPr>
          <w:rFonts w:ascii="Garamond" w:hAnsi="Garamond"/>
        </w:rPr>
        <w:t>2017.  “</w:t>
      </w:r>
      <w:proofErr w:type="gramEnd"/>
      <w:r>
        <w:rPr>
          <w:rFonts w:ascii="Garamond" w:hAnsi="Garamond"/>
        </w:rPr>
        <w:t xml:space="preserve">Beyond Hierarchy.”  In Ayse Zarakol, ed.  </w:t>
      </w:r>
      <w:r>
        <w:rPr>
          <w:rFonts w:ascii="Garamond" w:hAnsi="Garamond"/>
          <w:i/>
        </w:rPr>
        <w:t>Hierarchies in World Politics</w:t>
      </w:r>
      <w:r>
        <w:rPr>
          <w:rFonts w:ascii="Garamond" w:hAnsi="Garamond"/>
        </w:rPr>
        <w:t xml:space="preserve">.  Cambridge:  Cambridge University Press.  </w:t>
      </w:r>
    </w:p>
    <w:p w14:paraId="1691BCCF" w14:textId="77777777" w:rsidR="006756F2" w:rsidRDefault="006756F2" w:rsidP="006756F2">
      <w:pPr>
        <w:pStyle w:val="NormalWeb"/>
        <w:spacing w:before="0" w:beforeAutospacing="0" w:after="120" w:afterAutospacing="0"/>
        <w:ind w:left="720"/>
        <w:rPr>
          <w:rFonts w:ascii="Garamond" w:hAnsi="Garamond"/>
        </w:rPr>
      </w:pPr>
      <w:proofErr w:type="gramStart"/>
      <w:r>
        <w:rPr>
          <w:rFonts w:ascii="Garamond" w:hAnsi="Garamond"/>
        </w:rPr>
        <w:t>2016</w:t>
      </w:r>
      <w:r w:rsidRPr="009F6B59">
        <w:rPr>
          <w:rFonts w:ascii="Garamond" w:hAnsi="Garamond"/>
        </w:rPr>
        <w:t>.  “</w:t>
      </w:r>
      <w:proofErr w:type="gramEnd"/>
      <w:r w:rsidRPr="009F6B59">
        <w:rPr>
          <w:rFonts w:ascii="Garamond" w:hAnsi="Garamond"/>
        </w:rPr>
        <w:t xml:space="preserve">Human Rights.”  In John Baylis, Steve Smith, and Patricia Owens, eds.  </w:t>
      </w:r>
      <w:r w:rsidRPr="009F6B59">
        <w:rPr>
          <w:rFonts w:ascii="Garamond" w:hAnsi="Garamond"/>
          <w:i/>
        </w:rPr>
        <w:t>The Globalization of World Politics</w:t>
      </w:r>
      <w:r w:rsidRPr="009F6B59">
        <w:rPr>
          <w:rFonts w:ascii="Garamond" w:hAnsi="Garamond"/>
        </w:rPr>
        <w:t xml:space="preserve">. </w:t>
      </w:r>
      <w:r>
        <w:rPr>
          <w:rFonts w:ascii="Garamond" w:hAnsi="Garamond"/>
        </w:rPr>
        <w:t>7</w:t>
      </w:r>
      <w:r w:rsidRPr="009F6B59">
        <w:rPr>
          <w:rFonts w:ascii="Garamond" w:hAnsi="Garamond"/>
          <w:vertAlign w:val="superscript"/>
        </w:rPr>
        <w:t>th</w:t>
      </w:r>
      <w:r w:rsidRPr="009F6B59">
        <w:rPr>
          <w:rFonts w:ascii="Garamond" w:hAnsi="Garamond"/>
        </w:rPr>
        <w:t xml:space="preserve"> ed.  Oxford:  Oxford University Press</w:t>
      </w:r>
      <w:r>
        <w:rPr>
          <w:rFonts w:ascii="Garamond" w:hAnsi="Garamond"/>
        </w:rPr>
        <w:t>.  (6</w:t>
      </w:r>
      <w:r w:rsidRPr="00906127">
        <w:rPr>
          <w:rFonts w:ascii="Garamond" w:hAnsi="Garamond"/>
          <w:vertAlign w:val="superscript"/>
        </w:rPr>
        <w:t>th</w:t>
      </w:r>
      <w:r>
        <w:rPr>
          <w:rFonts w:ascii="Garamond" w:hAnsi="Garamond"/>
        </w:rPr>
        <w:t xml:space="preserve"> ed. 2013, 5</w:t>
      </w:r>
      <w:r w:rsidRPr="002B308A">
        <w:rPr>
          <w:rFonts w:ascii="Garamond" w:hAnsi="Garamond"/>
          <w:vertAlign w:val="superscript"/>
        </w:rPr>
        <w:t>th</w:t>
      </w:r>
      <w:r>
        <w:rPr>
          <w:rFonts w:ascii="Garamond" w:hAnsi="Garamond"/>
        </w:rPr>
        <w:t xml:space="preserve"> ed. 2011, 4</w:t>
      </w:r>
      <w:r w:rsidRPr="002B308A">
        <w:rPr>
          <w:rFonts w:ascii="Garamond" w:hAnsi="Garamond"/>
          <w:vertAlign w:val="superscript"/>
        </w:rPr>
        <w:t>th</w:t>
      </w:r>
      <w:r>
        <w:rPr>
          <w:rFonts w:ascii="Garamond" w:hAnsi="Garamond"/>
        </w:rPr>
        <w:t xml:space="preserve"> ed. 2008.)  </w:t>
      </w:r>
    </w:p>
    <w:p w14:paraId="70051B73" w14:textId="77777777" w:rsidR="006756F2" w:rsidRPr="002F7888" w:rsidRDefault="006756F2" w:rsidP="006756F2">
      <w:pPr>
        <w:pStyle w:val="NormalWeb"/>
        <w:spacing w:before="0" w:beforeAutospacing="0" w:after="120" w:afterAutospacing="0"/>
        <w:ind w:left="720"/>
        <w:rPr>
          <w:rFonts w:ascii="Garamond" w:hAnsi="Garamond"/>
        </w:rPr>
      </w:pPr>
      <w:r>
        <w:rPr>
          <w:rFonts w:ascii="Garamond" w:hAnsi="Garamond"/>
        </w:rPr>
        <w:t xml:space="preserve">2013a.  “Differentiation:  Type and Dimension Approaches.”  In Matthias Albert, Barry Buzan, and Michael </w:t>
      </w:r>
      <w:proofErr w:type="spellStart"/>
      <w:r>
        <w:rPr>
          <w:rFonts w:ascii="Garamond" w:hAnsi="Garamond"/>
        </w:rPr>
        <w:t>Zürn</w:t>
      </w:r>
      <w:proofErr w:type="spellEnd"/>
      <w:r>
        <w:rPr>
          <w:rFonts w:ascii="Garamond" w:hAnsi="Garamond"/>
        </w:rPr>
        <w:t xml:space="preserve">, eds.  </w:t>
      </w:r>
      <w:r>
        <w:rPr>
          <w:rFonts w:ascii="Garamond" w:hAnsi="Garamond"/>
          <w:i/>
        </w:rPr>
        <w:t>Bringing Sociology into International Relations:  World Politics as Differentiation</w:t>
      </w:r>
      <w:r>
        <w:rPr>
          <w:rFonts w:ascii="Garamond" w:hAnsi="Garamond"/>
        </w:rPr>
        <w:t>.  Oxford:  Oxford University Press.</w:t>
      </w:r>
    </w:p>
    <w:p w14:paraId="4FE9B09E" w14:textId="30093001"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2012c</w:t>
      </w:r>
      <w:r w:rsidRPr="009F6B59">
        <w:rPr>
          <w:rFonts w:ascii="Garamond" w:hAnsi="Garamond"/>
        </w:rPr>
        <w:t xml:space="preserve">.  “Military Intervention and Human Rights.”  In Peter M. Haas, John A. Hird, and Beth </w:t>
      </w:r>
      <w:proofErr w:type="spellStart"/>
      <w:r w:rsidRPr="009F6B59">
        <w:rPr>
          <w:rFonts w:ascii="Garamond" w:hAnsi="Garamond"/>
        </w:rPr>
        <w:t>McBratney</w:t>
      </w:r>
      <w:proofErr w:type="spellEnd"/>
      <w:r w:rsidRPr="009F6B59">
        <w:rPr>
          <w:rFonts w:ascii="Garamond" w:hAnsi="Garamond"/>
        </w:rPr>
        <w:t xml:space="preserve">, eds.  </w:t>
      </w:r>
      <w:r w:rsidRPr="009F6B59">
        <w:rPr>
          <w:rFonts w:ascii="Garamond" w:hAnsi="Garamond"/>
          <w:i/>
        </w:rPr>
        <w:t>Controversies in Globalization:  Contending Approaches to International Relations</w:t>
      </w:r>
      <w:r w:rsidRPr="009F6B59">
        <w:rPr>
          <w:rFonts w:ascii="Garamond" w:hAnsi="Garamond"/>
        </w:rPr>
        <w:t>.  Washington, D. C.:  C Q Press.</w:t>
      </w:r>
      <w:r>
        <w:rPr>
          <w:rFonts w:ascii="Garamond" w:hAnsi="Garamond"/>
        </w:rPr>
        <w:t xml:space="preserve">  (1</w:t>
      </w:r>
      <w:r w:rsidRPr="002B308A">
        <w:rPr>
          <w:rFonts w:ascii="Garamond" w:hAnsi="Garamond"/>
          <w:vertAlign w:val="superscript"/>
        </w:rPr>
        <w:t>st</w:t>
      </w:r>
      <w:r>
        <w:rPr>
          <w:rFonts w:ascii="Garamond" w:hAnsi="Garamond"/>
        </w:rPr>
        <w:t xml:space="preserve"> ed. 2009.)</w:t>
      </w:r>
    </w:p>
    <w:p w14:paraId="5329785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2008c</w:t>
      </w:r>
      <w:r w:rsidRPr="009F6B59">
        <w:rPr>
          <w:rFonts w:ascii="Garamond" w:hAnsi="Garamond"/>
        </w:rPr>
        <w:t xml:space="preserve">.  “The Ethics of Realism.”  In Christian Reus-Smit and Duncan Snidal, eds., </w:t>
      </w:r>
      <w:r w:rsidRPr="009F6B59">
        <w:rPr>
          <w:rFonts w:ascii="Garamond" w:hAnsi="Garamond"/>
          <w:i/>
          <w:iCs/>
        </w:rPr>
        <w:t>The Oxford Handbook of International Relations</w:t>
      </w:r>
      <w:r w:rsidRPr="009F6B59">
        <w:rPr>
          <w:rFonts w:ascii="Garamond" w:hAnsi="Garamond"/>
        </w:rPr>
        <w:t>.  Oxford: Oxford University Press.</w:t>
      </w:r>
    </w:p>
    <w:p w14:paraId="78FB4EE4" w14:textId="77777777" w:rsidR="006756F2" w:rsidRPr="00106AFA" w:rsidRDefault="006756F2" w:rsidP="006756F2">
      <w:pPr>
        <w:pStyle w:val="NormalWeb"/>
        <w:spacing w:before="0" w:beforeAutospacing="0" w:after="120" w:afterAutospacing="0"/>
        <w:ind w:left="720"/>
        <w:rPr>
          <w:rFonts w:ascii="Garamond" w:hAnsi="Garamond"/>
          <w:lang w:val="es-ES"/>
        </w:rPr>
      </w:pPr>
      <w:r w:rsidRPr="009F6B59">
        <w:rPr>
          <w:rFonts w:ascii="Garamond" w:hAnsi="Garamond"/>
        </w:rPr>
        <w:t xml:space="preserve">2007c.  “The West and Economic Rights.”  In Shareen Hertel and </w:t>
      </w:r>
      <w:proofErr w:type="spellStart"/>
      <w:r w:rsidRPr="009F6B59">
        <w:rPr>
          <w:rFonts w:ascii="Garamond" w:hAnsi="Garamond"/>
        </w:rPr>
        <w:t>Lanse</w:t>
      </w:r>
      <w:proofErr w:type="spellEnd"/>
      <w:r w:rsidRPr="009F6B59">
        <w:rPr>
          <w:rFonts w:ascii="Garamond" w:hAnsi="Garamond"/>
        </w:rPr>
        <w:t xml:space="preserve"> Minkler, eds., </w:t>
      </w:r>
      <w:r w:rsidRPr="009F6B59">
        <w:rPr>
          <w:rFonts w:ascii="Garamond" w:hAnsi="Garamond"/>
          <w:i/>
          <w:iCs/>
        </w:rPr>
        <w:t>Economic Rights: Conceptual, Measurement, and Policy Issues</w:t>
      </w:r>
      <w:r w:rsidRPr="009F6B59">
        <w:rPr>
          <w:rFonts w:ascii="Garamond" w:hAnsi="Garamond"/>
        </w:rPr>
        <w:t xml:space="preserve">.  </w:t>
      </w:r>
      <w:r w:rsidRPr="00106AFA">
        <w:rPr>
          <w:rFonts w:ascii="Garamond" w:hAnsi="Garamond"/>
          <w:lang w:val="es-ES"/>
        </w:rPr>
        <w:t xml:space="preserve">Cambridge: Cambridge </w:t>
      </w:r>
      <w:proofErr w:type="spellStart"/>
      <w:r w:rsidRPr="00106AFA">
        <w:rPr>
          <w:rFonts w:ascii="Garamond" w:hAnsi="Garamond"/>
          <w:lang w:val="es-ES"/>
        </w:rPr>
        <w:t>University</w:t>
      </w:r>
      <w:proofErr w:type="spellEnd"/>
      <w:r w:rsidRPr="00106AFA">
        <w:rPr>
          <w:rFonts w:ascii="Garamond" w:hAnsi="Garamond"/>
          <w:lang w:val="es-ES"/>
        </w:rPr>
        <w:t xml:space="preserve"> </w:t>
      </w:r>
      <w:proofErr w:type="spellStart"/>
      <w:r w:rsidRPr="00106AFA">
        <w:rPr>
          <w:rFonts w:ascii="Garamond" w:hAnsi="Garamond"/>
          <w:lang w:val="es-ES"/>
        </w:rPr>
        <w:t>Press</w:t>
      </w:r>
      <w:proofErr w:type="spellEnd"/>
      <w:r w:rsidRPr="00106AFA">
        <w:rPr>
          <w:rFonts w:ascii="Garamond" w:hAnsi="Garamond"/>
          <w:lang w:val="es-ES"/>
        </w:rPr>
        <w:t>.</w:t>
      </w:r>
    </w:p>
    <w:p w14:paraId="5C0E6920" w14:textId="77777777" w:rsidR="006756F2" w:rsidRPr="00106AFA" w:rsidRDefault="006756F2" w:rsidP="006756F2">
      <w:pPr>
        <w:pStyle w:val="NormalWeb"/>
        <w:spacing w:before="0" w:beforeAutospacing="0" w:after="120" w:afterAutospacing="0"/>
        <w:ind w:left="720"/>
        <w:rPr>
          <w:rFonts w:ascii="Garamond" w:hAnsi="Garamond"/>
          <w:lang w:val="es-ES"/>
        </w:rPr>
      </w:pPr>
      <w:r w:rsidRPr="00106AFA">
        <w:rPr>
          <w:rFonts w:ascii="Garamond" w:hAnsi="Garamond"/>
          <w:lang w:val="es-ES"/>
        </w:rPr>
        <w:lastRenderedPageBreak/>
        <w:t xml:space="preserve">2007d.  “La soberanía de los Estados y los derechos humanos.”  In Ana Covarrubias Velasco and Daniel Ortega Nieto, eds., </w:t>
      </w:r>
      <w:r w:rsidRPr="00106AFA">
        <w:rPr>
          <w:rFonts w:ascii="Garamond" w:hAnsi="Garamond"/>
          <w:i/>
          <w:iCs/>
          <w:lang w:val="es-ES"/>
        </w:rPr>
        <w:t xml:space="preserve">La protección internacional de los derechos humanos:  un reto en el siglo </w:t>
      </w:r>
      <w:proofErr w:type="spellStart"/>
      <w:r w:rsidRPr="00106AFA">
        <w:rPr>
          <w:rFonts w:ascii="Garamond" w:hAnsi="Garamond"/>
          <w:i/>
          <w:iCs/>
          <w:lang w:val="es-ES"/>
        </w:rPr>
        <w:t>xxi</w:t>
      </w:r>
      <w:proofErr w:type="spellEnd"/>
      <w:r w:rsidRPr="00106AFA">
        <w:rPr>
          <w:rFonts w:ascii="Garamond" w:hAnsi="Garamond"/>
          <w:lang w:val="es-ES"/>
        </w:rPr>
        <w:t xml:space="preserve">.  </w:t>
      </w:r>
      <w:proofErr w:type="spellStart"/>
      <w:r w:rsidRPr="00106AFA">
        <w:rPr>
          <w:rFonts w:ascii="Garamond" w:hAnsi="Garamond"/>
          <w:lang w:val="es-ES"/>
        </w:rPr>
        <w:t>Mexcio</w:t>
      </w:r>
      <w:proofErr w:type="spellEnd"/>
      <w:r w:rsidRPr="00106AFA">
        <w:rPr>
          <w:rFonts w:ascii="Garamond" w:hAnsi="Garamond"/>
          <w:lang w:val="es-ES"/>
        </w:rPr>
        <w:t>, D.F.:  El Colegio de México, Centro de Estudios Internacionales.</w:t>
      </w:r>
    </w:p>
    <w:p w14:paraId="2FE3EAD6"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2006b</w:t>
      </w:r>
      <w:r w:rsidRPr="009F6B59">
        <w:rPr>
          <w:rFonts w:ascii="Garamond" w:hAnsi="Garamond"/>
        </w:rPr>
        <w:t xml:space="preserve">.  “Human Rights.”  In John </w:t>
      </w:r>
      <w:proofErr w:type="spellStart"/>
      <w:r w:rsidRPr="009F6B59">
        <w:rPr>
          <w:rFonts w:ascii="Garamond" w:hAnsi="Garamond"/>
        </w:rPr>
        <w:t>Dryzek</w:t>
      </w:r>
      <w:proofErr w:type="spellEnd"/>
      <w:r w:rsidRPr="009F6B59">
        <w:rPr>
          <w:rFonts w:ascii="Garamond" w:hAnsi="Garamond"/>
        </w:rPr>
        <w:t xml:space="preserve">, Bonnie Honig, and Anne Phillips, eds., </w:t>
      </w:r>
      <w:r w:rsidRPr="009F6B59">
        <w:rPr>
          <w:rFonts w:ascii="Garamond" w:hAnsi="Garamond"/>
          <w:i/>
          <w:iCs/>
        </w:rPr>
        <w:t>Oxford Handbook of Political Theory</w:t>
      </w:r>
      <w:r w:rsidRPr="009F6B59">
        <w:rPr>
          <w:rFonts w:ascii="Garamond" w:hAnsi="Garamond"/>
        </w:rPr>
        <w:t>, Oxford:  Oxford University Press.</w:t>
      </w:r>
    </w:p>
    <w:p w14:paraId="55B4D108"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2006c</w:t>
      </w:r>
      <w:r w:rsidRPr="009F6B59">
        <w:rPr>
          <w:rFonts w:ascii="Garamond" w:hAnsi="Garamond"/>
        </w:rPr>
        <w:t xml:space="preserve">.  “Is There a Right to Peace?”  In Julie </w:t>
      </w:r>
      <w:proofErr w:type="spellStart"/>
      <w:r w:rsidRPr="009F6B59">
        <w:rPr>
          <w:rFonts w:ascii="Garamond" w:hAnsi="Garamond"/>
        </w:rPr>
        <w:t>Mertus</w:t>
      </w:r>
      <w:proofErr w:type="spellEnd"/>
      <w:r w:rsidRPr="009F6B59">
        <w:rPr>
          <w:rFonts w:ascii="Garamond" w:hAnsi="Garamond"/>
        </w:rPr>
        <w:t xml:space="preserve"> and Jeffrey W. Helsing, eds., </w:t>
      </w:r>
      <w:r w:rsidRPr="009F6B59">
        <w:rPr>
          <w:rFonts w:ascii="Garamond" w:hAnsi="Garamond"/>
          <w:i/>
          <w:iCs/>
        </w:rPr>
        <w:t>Human Rights and Conflict</w:t>
      </w:r>
      <w:r w:rsidRPr="009F6B59">
        <w:rPr>
          <w:rFonts w:ascii="Garamond" w:hAnsi="Garamond"/>
        </w:rPr>
        <w:t>.  United States Institute of Peace Press, 2006.</w:t>
      </w:r>
    </w:p>
    <w:p w14:paraId="40A97F85"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2005b.  “The Virtues of Legalization.”  In Basak Cali and Saladin </w:t>
      </w:r>
      <w:proofErr w:type="spellStart"/>
      <w:r w:rsidRPr="009F6B59">
        <w:rPr>
          <w:rFonts w:ascii="Garamond" w:hAnsi="Garamond"/>
        </w:rPr>
        <w:t>Meckled</w:t>
      </w:r>
      <w:proofErr w:type="spellEnd"/>
      <w:r w:rsidRPr="009F6B59">
        <w:rPr>
          <w:rFonts w:ascii="Garamond" w:hAnsi="Garamond"/>
        </w:rPr>
        <w:t xml:space="preserve">-Garcia, eds., </w:t>
      </w:r>
      <w:r w:rsidRPr="009F6B59">
        <w:rPr>
          <w:rFonts w:ascii="Garamond" w:hAnsi="Garamond"/>
          <w:i/>
          <w:iCs/>
        </w:rPr>
        <w:t>Legalization and Human Rights</w:t>
      </w:r>
      <w:r w:rsidRPr="009F6B59">
        <w:rPr>
          <w:rFonts w:ascii="Garamond" w:hAnsi="Garamond"/>
        </w:rPr>
        <w:t>, London:  Routledge.</w:t>
      </w:r>
    </w:p>
    <w:p w14:paraId="418DEA42"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2004a.  “International Human Rights:  Unintended Consequences of the War on Terrorism.”  In Thomas G. Weiss, Margaret E. Crahan, and John Goering (eds.), </w:t>
      </w:r>
      <w:r w:rsidRPr="009F6B59">
        <w:rPr>
          <w:rFonts w:ascii="Garamond" w:hAnsi="Garamond"/>
          <w:i/>
          <w:iCs/>
        </w:rPr>
        <w:t>Wars on Terrorism and Iraq:  Human Rights, Unilateralism and U.S. Foreign Policy</w:t>
      </w:r>
      <w:r w:rsidRPr="009F6B59">
        <w:rPr>
          <w:rFonts w:ascii="Garamond" w:hAnsi="Garamond"/>
        </w:rPr>
        <w:t>, New York:  Routledge.</w:t>
      </w:r>
    </w:p>
    <w:p w14:paraId="7C60B0C0"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2004b.  “Introduction.”  In Debra Liang-Fenton (ed.), </w:t>
      </w:r>
      <w:r w:rsidRPr="009F6B59">
        <w:rPr>
          <w:rFonts w:ascii="Garamond" w:hAnsi="Garamond"/>
          <w:i/>
          <w:iCs/>
        </w:rPr>
        <w:t>Implementing U.S. Human Rights Policy</w:t>
      </w:r>
      <w:r w:rsidRPr="009F6B59">
        <w:rPr>
          <w:rFonts w:ascii="Garamond" w:hAnsi="Garamond"/>
        </w:rPr>
        <w:t>, Washington, D.C.:  United States Institute of Peace.  (co-author with Debra Liang-Fenton).</w:t>
      </w:r>
    </w:p>
    <w:p w14:paraId="2469C09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2003a.  “The Universal Declaration Model:  A Liberal Defense.”  In Gene M. Lyons and James Mayall (eds.), </w:t>
      </w:r>
      <w:r w:rsidRPr="009F6B59">
        <w:rPr>
          <w:rFonts w:ascii="Garamond" w:hAnsi="Garamond"/>
          <w:i/>
          <w:iCs/>
        </w:rPr>
        <w:t>International Human Rights in the 21st Century:  Protecting the Rights of Groups</w:t>
      </w:r>
      <w:r w:rsidRPr="009F6B59">
        <w:rPr>
          <w:rFonts w:ascii="Garamond" w:hAnsi="Garamond"/>
        </w:rPr>
        <w:t>, Lanham:  Rowman and Littlefield.</w:t>
      </w:r>
    </w:p>
    <w:p w14:paraId="080E5107" w14:textId="77777777" w:rsidR="006756F2"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2003b.  “The West.”  In Edward A. Kolodziej (ed.), </w:t>
      </w:r>
      <w:r w:rsidRPr="009F6B59">
        <w:rPr>
          <w:rFonts w:ascii="Garamond" w:hAnsi="Garamond"/>
          <w:i/>
          <w:iCs/>
        </w:rPr>
        <w:t>A Force Profonde:  The Power, Promise, and Politics of Human Rights</w:t>
      </w:r>
      <w:r w:rsidRPr="009F6B59">
        <w:rPr>
          <w:rFonts w:ascii="Garamond" w:hAnsi="Garamond"/>
        </w:rPr>
        <w:t>, Philadelphia:  University of Pennsylvania Press.</w:t>
      </w:r>
    </w:p>
    <w:p w14:paraId="284729C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2002b</w:t>
      </w:r>
      <w:r w:rsidRPr="009F6B59">
        <w:rPr>
          <w:rFonts w:ascii="Garamond" w:hAnsi="Garamond"/>
        </w:rPr>
        <w:t xml:space="preserve">.  “Beyond Realism and Its Critics: New Realist Research and the Possibilities for Constructive Engagement.”  In Stephanie Lawson (ed.), </w:t>
      </w:r>
      <w:r w:rsidRPr="009F6B59">
        <w:rPr>
          <w:rFonts w:ascii="Garamond" w:hAnsi="Garamond"/>
          <w:i/>
          <w:iCs/>
        </w:rPr>
        <w:t>The New Agenda for International Relations</w:t>
      </w:r>
      <w:r w:rsidRPr="009F6B59">
        <w:rPr>
          <w:rFonts w:ascii="Garamond" w:hAnsi="Garamond"/>
        </w:rPr>
        <w:t>, Malden:  Polity Press.</w:t>
      </w:r>
    </w:p>
    <w:p w14:paraId="4D1B500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2001a</w:t>
      </w:r>
      <w:r w:rsidRPr="009F6B59">
        <w:rPr>
          <w:rFonts w:ascii="Garamond" w:hAnsi="Garamond"/>
        </w:rPr>
        <w:t xml:space="preserve">.  “Ethics and International Human Rights.” In Danny Warner and Jean-Marc </w:t>
      </w:r>
      <w:proofErr w:type="spellStart"/>
      <w:r w:rsidRPr="009F6B59">
        <w:rPr>
          <w:rFonts w:ascii="Garamond" w:hAnsi="Garamond"/>
        </w:rPr>
        <w:t>Coicaud</w:t>
      </w:r>
      <w:proofErr w:type="spellEnd"/>
      <w:r w:rsidRPr="009F6B59">
        <w:rPr>
          <w:rFonts w:ascii="Garamond" w:hAnsi="Garamond"/>
        </w:rPr>
        <w:t xml:space="preserve">, </w:t>
      </w:r>
      <w:r w:rsidRPr="009F6B59">
        <w:rPr>
          <w:rFonts w:ascii="Garamond" w:hAnsi="Garamond"/>
          <w:i/>
          <w:iCs/>
        </w:rPr>
        <w:t>Ethics and International Affairs:  Extent and Limits</w:t>
      </w:r>
      <w:r w:rsidRPr="009F6B59">
        <w:rPr>
          <w:rFonts w:ascii="Garamond" w:hAnsi="Garamond"/>
        </w:rPr>
        <w:t>.  Tokyo:  United Nations University Press.</w:t>
      </w:r>
    </w:p>
    <w:p w14:paraId="2BDACD81"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2000b</w:t>
      </w:r>
      <w:r w:rsidRPr="009F6B59">
        <w:rPr>
          <w:rFonts w:ascii="Garamond" w:hAnsi="Garamond"/>
        </w:rPr>
        <w:t xml:space="preserve">.  “Conclusion:  An Overview.”  In David P. Forsythe, </w:t>
      </w:r>
      <w:r w:rsidRPr="009F6B59">
        <w:rPr>
          <w:rFonts w:ascii="Garamond" w:hAnsi="Garamond"/>
          <w:i/>
          <w:iCs/>
        </w:rPr>
        <w:t>Human Rights and Comparative Foreign Policy</w:t>
      </w:r>
      <w:r w:rsidRPr="009F6B59">
        <w:rPr>
          <w:rFonts w:ascii="Garamond" w:hAnsi="Garamond"/>
        </w:rPr>
        <w:t>.  Tokyo:  United Nations University Press.</w:t>
      </w:r>
    </w:p>
    <w:p w14:paraId="040A8BFC" w14:textId="77777777" w:rsidR="006756F2" w:rsidRDefault="006756F2" w:rsidP="006756F2">
      <w:pPr>
        <w:pStyle w:val="NormalWeb"/>
        <w:spacing w:before="0" w:beforeAutospacing="0" w:after="120" w:afterAutospacing="0"/>
        <w:ind w:left="720"/>
        <w:rPr>
          <w:rFonts w:ascii="Garamond" w:hAnsi="Garamond"/>
        </w:rPr>
      </w:pPr>
      <w:r>
        <w:rPr>
          <w:rFonts w:ascii="Garamond" w:hAnsi="Garamond"/>
        </w:rPr>
        <w:t>2000c</w:t>
      </w:r>
      <w:r w:rsidRPr="009F6B59">
        <w:rPr>
          <w:rFonts w:ascii="Garamond" w:hAnsi="Garamond"/>
        </w:rPr>
        <w:t xml:space="preserve">. “Human Rights, Democracy, and U.S. Foreign Policy.” In David P. Forsythe, </w:t>
      </w:r>
      <w:r w:rsidRPr="009F6B59">
        <w:rPr>
          <w:rFonts w:ascii="Garamond" w:hAnsi="Garamond"/>
          <w:i/>
          <w:iCs/>
        </w:rPr>
        <w:t>The United States and Human Rights: Looking Inward and Outward</w:t>
      </w:r>
      <w:r w:rsidRPr="009F6B59">
        <w:rPr>
          <w:rFonts w:ascii="Garamond" w:hAnsi="Garamond"/>
        </w:rPr>
        <w:t>. Lincoln:  University of Nebraska Press.</w:t>
      </w:r>
    </w:p>
    <w:p w14:paraId="23A8E5EA"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2000d</w:t>
      </w:r>
      <w:r w:rsidRPr="009F6B59">
        <w:rPr>
          <w:rFonts w:ascii="Garamond" w:hAnsi="Garamond"/>
        </w:rPr>
        <w:t>.  “Human Rights, Security, and the Dilemmas of Intervention:  Reflections after Kosovo.”  In Tai-</w:t>
      </w:r>
      <w:proofErr w:type="spellStart"/>
      <w:r w:rsidRPr="009F6B59">
        <w:rPr>
          <w:rFonts w:ascii="Garamond" w:hAnsi="Garamond"/>
        </w:rPr>
        <w:t>joon</w:t>
      </w:r>
      <w:proofErr w:type="spellEnd"/>
      <w:r w:rsidRPr="009F6B59">
        <w:rPr>
          <w:rFonts w:ascii="Garamond" w:hAnsi="Garamond"/>
        </w:rPr>
        <w:t xml:space="preserve"> Kwon and Dong-Sung Kim, </w:t>
      </w:r>
      <w:r w:rsidRPr="009F6B59">
        <w:rPr>
          <w:rFonts w:ascii="Garamond" w:hAnsi="Garamond"/>
          <w:i/>
          <w:iCs/>
        </w:rPr>
        <w:t>World Order and Peace in the New Millennium</w:t>
      </w:r>
      <w:r w:rsidRPr="009F6B59">
        <w:rPr>
          <w:rFonts w:ascii="Garamond" w:hAnsi="Garamond"/>
        </w:rPr>
        <w:t>.  Seoul:  Korean National Commission for UNESCO.</w:t>
      </w:r>
    </w:p>
    <w:p w14:paraId="218911A9"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1999b</w:t>
      </w:r>
      <w:r w:rsidRPr="009F6B59">
        <w:rPr>
          <w:rFonts w:ascii="Garamond" w:hAnsi="Garamond"/>
        </w:rPr>
        <w:t xml:space="preserve">. “The Social Construction of International Human Rights.” In Tim Dunne and Nicholas J. Wheeler, </w:t>
      </w:r>
      <w:r w:rsidRPr="009F6B59">
        <w:rPr>
          <w:rFonts w:ascii="Garamond" w:hAnsi="Garamond"/>
          <w:i/>
          <w:iCs/>
        </w:rPr>
        <w:t>Human Rights in Global Politics</w:t>
      </w:r>
      <w:r w:rsidRPr="009F6B59">
        <w:rPr>
          <w:rFonts w:ascii="Garamond" w:hAnsi="Garamond"/>
        </w:rPr>
        <w:t>. Cambridge: Cambridge University Press.</w:t>
      </w:r>
    </w:p>
    <w:p w14:paraId="22773718"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1999c</w:t>
      </w:r>
      <w:r w:rsidRPr="009F6B59">
        <w:rPr>
          <w:rFonts w:ascii="Garamond" w:hAnsi="Garamond"/>
        </w:rPr>
        <w:t xml:space="preserve">. “Human Rights and Asian Values: A Defense of 'Western' Universalism.” In Joanne R. Bauer and Daniel A. Bell, </w:t>
      </w:r>
      <w:r w:rsidRPr="009F6B59">
        <w:rPr>
          <w:rFonts w:ascii="Garamond" w:hAnsi="Garamond"/>
          <w:i/>
          <w:iCs/>
        </w:rPr>
        <w:t xml:space="preserve">The East Asian Challenge for Human Rights. </w:t>
      </w:r>
      <w:r w:rsidRPr="009F6B59">
        <w:rPr>
          <w:rFonts w:ascii="Garamond" w:hAnsi="Garamond"/>
        </w:rPr>
        <w:t>Cambridge: Cambridge University Press.</w:t>
      </w:r>
    </w:p>
    <w:p w14:paraId="52895E1F"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1999d</w:t>
      </w:r>
      <w:r w:rsidRPr="009F6B59">
        <w:rPr>
          <w:rFonts w:ascii="Garamond" w:hAnsi="Garamond"/>
        </w:rPr>
        <w:t xml:space="preserve">. “Human Rights, Globalization, and the State.” In Monique </w:t>
      </w:r>
      <w:proofErr w:type="spellStart"/>
      <w:r w:rsidRPr="009F6B59">
        <w:rPr>
          <w:rFonts w:ascii="Garamond" w:hAnsi="Garamond"/>
        </w:rPr>
        <w:t>Castermans</w:t>
      </w:r>
      <w:proofErr w:type="spellEnd"/>
      <w:r w:rsidRPr="009F6B59">
        <w:rPr>
          <w:rFonts w:ascii="Garamond" w:hAnsi="Garamond"/>
        </w:rPr>
        <w:t xml:space="preserve">-Holleman, G. J. van Hoof, and Jacqueline Smith, </w:t>
      </w:r>
      <w:r w:rsidRPr="009F6B59">
        <w:rPr>
          <w:rFonts w:ascii="Garamond" w:hAnsi="Garamond"/>
          <w:i/>
          <w:iCs/>
        </w:rPr>
        <w:t xml:space="preserve">The Role of the Nation-State in the 21st Century: Human </w:t>
      </w:r>
      <w:r w:rsidRPr="009F6B59">
        <w:rPr>
          <w:rFonts w:ascii="Garamond" w:hAnsi="Garamond"/>
          <w:i/>
          <w:iCs/>
        </w:rPr>
        <w:lastRenderedPageBreak/>
        <w:t xml:space="preserve">Rights, International Organizations and Foreign Policy. Essays in Honour of Peter Baehr. </w:t>
      </w:r>
      <w:r w:rsidRPr="009F6B59">
        <w:rPr>
          <w:rFonts w:ascii="Garamond" w:hAnsi="Garamond"/>
        </w:rPr>
        <w:t>Cambridge: Kluwer Law International.</w:t>
      </w:r>
    </w:p>
    <w:p w14:paraId="7AECB342"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1999e</w:t>
      </w:r>
      <w:r w:rsidRPr="009F6B59">
        <w:rPr>
          <w:rFonts w:ascii="Garamond" w:hAnsi="Garamond"/>
        </w:rPr>
        <w:t xml:space="preserve">.  “Non-Discrimination and Sexual Orientation: Making a Place for Sexual Minorities in the Global Human Rights Regime.” In Peter Baehr, Cees </w:t>
      </w:r>
      <w:proofErr w:type="spellStart"/>
      <w:r w:rsidRPr="009F6B59">
        <w:rPr>
          <w:rFonts w:ascii="Garamond" w:hAnsi="Garamond"/>
        </w:rPr>
        <w:t>Flinterman</w:t>
      </w:r>
      <w:proofErr w:type="spellEnd"/>
      <w:r w:rsidRPr="009F6B59">
        <w:rPr>
          <w:rFonts w:ascii="Garamond" w:hAnsi="Garamond"/>
        </w:rPr>
        <w:t xml:space="preserve">, and Mignon Senders, </w:t>
      </w:r>
      <w:r w:rsidRPr="009F6B59">
        <w:rPr>
          <w:rFonts w:ascii="Garamond" w:hAnsi="Garamond"/>
          <w:i/>
          <w:iCs/>
        </w:rPr>
        <w:t>Innovation and Inspiration:  Fifty Years of the Universal Declaration of Human Rights</w:t>
      </w:r>
      <w:r w:rsidRPr="009F6B59">
        <w:rPr>
          <w:rFonts w:ascii="Garamond" w:hAnsi="Garamond"/>
        </w:rPr>
        <w:t>.  Amsterdam:  Royal Netherlands Academy of Arts and Sciences.</w:t>
      </w:r>
      <w:r w:rsidRPr="009F6B59">
        <w:rPr>
          <w:rFonts w:ascii="Garamond" w:hAnsi="Garamond"/>
          <w:i/>
          <w:iCs/>
        </w:rPr>
        <w:t> </w:t>
      </w:r>
    </w:p>
    <w:p w14:paraId="65A5EFA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1997b</w:t>
      </w:r>
      <w:r w:rsidRPr="009F6B59">
        <w:rPr>
          <w:rFonts w:ascii="Garamond" w:hAnsi="Garamond"/>
        </w:rPr>
        <w:t xml:space="preserve">. “Human Rights.” </w:t>
      </w:r>
      <w:r w:rsidRPr="009F6B59">
        <w:rPr>
          <w:rFonts w:ascii="Garamond" w:hAnsi="Garamond"/>
          <w:i/>
          <w:iCs/>
        </w:rPr>
        <w:t>Encyclopedia of U.S. Foreign Relations</w:t>
      </w:r>
      <w:r w:rsidRPr="009F6B59">
        <w:rPr>
          <w:rFonts w:ascii="Garamond" w:hAnsi="Garamond"/>
        </w:rPr>
        <w:t xml:space="preserve">. Oxford University Press, 1997. </w:t>
      </w:r>
    </w:p>
    <w:p w14:paraId="29E88DB3"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1997c</w:t>
      </w:r>
      <w:r w:rsidRPr="009F6B59">
        <w:rPr>
          <w:rFonts w:ascii="Garamond" w:hAnsi="Garamond"/>
        </w:rPr>
        <w:t xml:space="preserve">. “Human Rights Issues and International Governance.” In Jin-Young Chung, </w:t>
      </w:r>
      <w:r w:rsidRPr="009F6B59">
        <w:rPr>
          <w:rFonts w:ascii="Garamond" w:hAnsi="Garamond"/>
          <w:i/>
          <w:iCs/>
        </w:rPr>
        <w:t>Global Governance: The Role of International Institutions in a Changing World</w:t>
      </w:r>
      <w:r w:rsidRPr="009F6B59">
        <w:rPr>
          <w:rFonts w:ascii="Garamond" w:hAnsi="Garamond"/>
        </w:rPr>
        <w:t xml:space="preserve">. </w:t>
      </w:r>
      <w:proofErr w:type="spellStart"/>
      <w:r w:rsidRPr="009F6B59">
        <w:rPr>
          <w:rFonts w:ascii="Garamond" w:hAnsi="Garamond"/>
        </w:rPr>
        <w:t>Sungnam</w:t>
      </w:r>
      <w:proofErr w:type="spellEnd"/>
      <w:r w:rsidRPr="009F6B59">
        <w:rPr>
          <w:rFonts w:ascii="Garamond" w:hAnsi="Garamond"/>
        </w:rPr>
        <w:t xml:space="preserve">, Korea: The Sejong Institute. </w:t>
      </w:r>
    </w:p>
    <w:p w14:paraId="5990DB4D"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1995a. “State Sovereignty and International Intervention: The Case of Human Rights.” In Gene M. Lyons and Michael </w:t>
      </w:r>
      <w:proofErr w:type="spellStart"/>
      <w:r w:rsidRPr="009F6B59">
        <w:rPr>
          <w:rFonts w:ascii="Garamond" w:hAnsi="Garamond"/>
        </w:rPr>
        <w:t>Mastanduno</w:t>
      </w:r>
      <w:proofErr w:type="spellEnd"/>
      <w:r w:rsidRPr="009F6B59">
        <w:rPr>
          <w:rFonts w:ascii="Garamond" w:hAnsi="Garamond"/>
        </w:rPr>
        <w:t xml:space="preserve">, </w:t>
      </w:r>
      <w:r w:rsidRPr="009F6B59">
        <w:rPr>
          <w:rFonts w:ascii="Garamond" w:hAnsi="Garamond"/>
          <w:i/>
          <w:iCs/>
        </w:rPr>
        <w:t xml:space="preserve">Beyond </w:t>
      </w:r>
      <w:proofErr w:type="gramStart"/>
      <w:r w:rsidRPr="009F6B59">
        <w:rPr>
          <w:rFonts w:ascii="Garamond" w:hAnsi="Garamond"/>
          <w:i/>
          <w:iCs/>
        </w:rPr>
        <w:t>Westphalia?:</w:t>
      </w:r>
      <w:proofErr w:type="gramEnd"/>
      <w:r w:rsidRPr="009F6B59">
        <w:rPr>
          <w:rFonts w:ascii="Garamond" w:hAnsi="Garamond"/>
          <w:i/>
          <w:iCs/>
        </w:rPr>
        <w:t xml:space="preserve"> State Sovereignty and International Intervention</w:t>
      </w:r>
      <w:r w:rsidRPr="009F6B59">
        <w:rPr>
          <w:rFonts w:ascii="Garamond" w:hAnsi="Garamond"/>
        </w:rPr>
        <w:t xml:space="preserve">. Baltimore: Johns Hopkins University Press. </w:t>
      </w:r>
    </w:p>
    <w:p w14:paraId="2539F98F"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1995b. “Realism and the Academic Study of International Relations.” In James Farr, John S. </w:t>
      </w:r>
      <w:proofErr w:type="spellStart"/>
      <w:r w:rsidRPr="009F6B59">
        <w:rPr>
          <w:rFonts w:ascii="Garamond" w:hAnsi="Garamond"/>
        </w:rPr>
        <w:t>Dryzek</w:t>
      </w:r>
      <w:proofErr w:type="spellEnd"/>
      <w:r w:rsidRPr="009F6B59">
        <w:rPr>
          <w:rFonts w:ascii="Garamond" w:hAnsi="Garamond"/>
        </w:rPr>
        <w:t xml:space="preserve"> and Stephen T. Leonard, </w:t>
      </w:r>
      <w:r w:rsidRPr="009F6B59">
        <w:rPr>
          <w:rFonts w:ascii="Garamond" w:hAnsi="Garamond"/>
          <w:i/>
          <w:iCs/>
        </w:rPr>
        <w:t>Political Science in History: Research Programs and Political Traditions</w:t>
      </w:r>
      <w:r w:rsidRPr="009F6B59">
        <w:rPr>
          <w:rFonts w:ascii="Garamond" w:hAnsi="Garamond"/>
        </w:rPr>
        <w:t xml:space="preserve">. Cambridge: Cambridge University Press. </w:t>
      </w:r>
    </w:p>
    <w:p w14:paraId="3C279B9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1995c. “The Past, the Present, and the Future Prospects.” In Milton J. </w:t>
      </w:r>
      <w:proofErr w:type="spellStart"/>
      <w:r w:rsidRPr="009F6B59">
        <w:rPr>
          <w:rFonts w:ascii="Garamond" w:hAnsi="Garamond"/>
        </w:rPr>
        <w:t>Esman</w:t>
      </w:r>
      <w:proofErr w:type="spellEnd"/>
      <w:r w:rsidRPr="009F6B59">
        <w:rPr>
          <w:rFonts w:ascii="Garamond" w:hAnsi="Garamond"/>
        </w:rPr>
        <w:t xml:space="preserve"> and Shibley </w:t>
      </w:r>
      <w:proofErr w:type="spellStart"/>
      <w:r w:rsidRPr="009F6B59">
        <w:rPr>
          <w:rFonts w:ascii="Garamond" w:hAnsi="Garamond"/>
        </w:rPr>
        <w:t>Telhami</w:t>
      </w:r>
      <w:proofErr w:type="spellEnd"/>
      <w:r w:rsidRPr="009F6B59">
        <w:rPr>
          <w:rFonts w:ascii="Garamond" w:hAnsi="Garamond"/>
        </w:rPr>
        <w:t xml:space="preserve">, </w:t>
      </w:r>
      <w:r w:rsidRPr="009F6B59">
        <w:rPr>
          <w:rFonts w:ascii="Garamond" w:hAnsi="Garamond"/>
          <w:i/>
          <w:iCs/>
        </w:rPr>
        <w:t>International Organizations and Ethnic Conflict</w:t>
      </w:r>
      <w:r w:rsidRPr="009F6B59">
        <w:rPr>
          <w:rFonts w:ascii="Garamond" w:hAnsi="Garamond"/>
        </w:rPr>
        <w:t xml:space="preserve">. Ithaca: Cornell University Press. </w:t>
      </w:r>
    </w:p>
    <w:p w14:paraId="5688FC58"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1994b. “Human Rights and International Organizations: States, Sovereignty, and the International Community.” In Friedrich Kratochwil and Edward D. Mansfield, </w:t>
      </w:r>
      <w:r w:rsidRPr="009F6B59">
        <w:rPr>
          <w:rFonts w:ascii="Garamond" w:hAnsi="Garamond"/>
          <w:i/>
          <w:iCs/>
        </w:rPr>
        <w:t>International Organization: A Reader</w:t>
      </w:r>
      <w:r w:rsidRPr="009F6B59">
        <w:rPr>
          <w:rFonts w:ascii="Garamond" w:hAnsi="Garamond"/>
        </w:rPr>
        <w:t xml:space="preserve">. New York: Harper Collins </w:t>
      </w:r>
    </w:p>
    <w:p w14:paraId="6045ABE9"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1994c. “Human Rights.” In Michael T. Klare, </w:t>
      </w:r>
      <w:r w:rsidRPr="009F6B59">
        <w:rPr>
          <w:rFonts w:ascii="Garamond" w:hAnsi="Garamond"/>
          <w:i/>
          <w:iCs/>
        </w:rPr>
        <w:t>Peace and World Security Studies: A Curriculum Guide</w:t>
      </w:r>
      <w:r w:rsidRPr="009F6B59">
        <w:rPr>
          <w:rFonts w:ascii="Garamond" w:hAnsi="Garamond"/>
        </w:rPr>
        <w:t xml:space="preserve">. Boulder, CO: Lynne </w:t>
      </w:r>
      <w:proofErr w:type="spellStart"/>
      <w:r w:rsidRPr="009F6B59">
        <w:rPr>
          <w:rFonts w:ascii="Garamond" w:hAnsi="Garamond"/>
        </w:rPr>
        <w:t>Rienner</w:t>
      </w:r>
      <w:proofErr w:type="spellEnd"/>
      <w:r w:rsidRPr="009F6B59">
        <w:rPr>
          <w:rFonts w:ascii="Garamond" w:hAnsi="Garamond"/>
        </w:rPr>
        <w:t xml:space="preserve">. </w:t>
      </w:r>
    </w:p>
    <w:p w14:paraId="6BE0F1B8" w14:textId="77777777" w:rsidR="006756F2"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1994d. “Human Rights in a New World Order: Implications for a New Europe.” In David P. Forsythe, </w:t>
      </w:r>
      <w:r w:rsidRPr="009F6B59">
        <w:rPr>
          <w:rFonts w:ascii="Garamond" w:hAnsi="Garamond"/>
          <w:i/>
          <w:iCs/>
        </w:rPr>
        <w:t>Human Rights in the New Europe: Problems and Progress</w:t>
      </w:r>
      <w:r w:rsidRPr="009F6B59">
        <w:rPr>
          <w:rFonts w:ascii="Garamond" w:hAnsi="Garamond"/>
        </w:rPr>
        <w:t xml:space="preserve">. Lincoln: University of Nebraska Press. </w:t>
      </w:r>
    </w:p>
    <w:p w14:paraId="2FA60526" w14:textId="77777777" w:rsidR="006756F2" w:rsidRPr="003F0B58" w:rsidRDefault="006756F2" w:rsidP="006756F2">
      <w:pPr>
        <w:pStyle w:val="NormalWeb"/>
        <w:spacing w:before="0" w:beforeAutospacing="0" w:after="120" w:afterAutospacing="0"/>
        <w:ind w:left="720"/>
        <w:rPr>
          <w:rFonts w:ascii="Garamond" w:hAnsi="Garamond"/>
        </w:rPr>
      </w:pPr>
      <w:r>
        <w:rPr>
          <w:rFonts w:ascii="Garamond" w:hAnsi="Garamond"/>
        </w:rPr>
        <w:t>1994e</w:t>
      </w:r>
      <w:r w:rsidRPr="009F6B59">
        <w:rPr>
          <w:rFonts w:ascii="Garamond" w:hAnsi="Garamond"/>
        </w:rPr>
        <w:t xml:space="preserve">. “International Human Rights and Health Care Reform.” In Audrey R. Chapman (ed.), </w:t>
      </w:r>
      <w:r w:rsidRPr="009F6B59">
        <w:rPr>
          <w:rFonts w:ascii="Garamond" w:hAnsi="Garamond"/>
          <w:i/>
          <w:iCs/>
        </w:rPr>
        <w:t>Health Care Reform: A Human Rights Approach</w:t>
      </w:r>
      <w:r w:rsidRPr="009F6B59">
        <w:rPr>
          <w:rFonts w:ascii="Garamond" w:hAnsi="Garamond"/>
        </w:rPr>
        <w:t xml:space="preserve">. Washington, DC: Georgetown University Press. </w:t>
      </w:r>
    </w:p>
    <w:p w14:paraId="0F204C76"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1993b</w:t>
      </w:r>
      <w:r w:rsidRPr="009F6B59">
        <w:rPr>
          <w:rFonts w:ascii="Garamond" w:hAnsi="Garamond"/>
        </w:rPr>
        <w:t xml:space="preserve">. “Third Generation Rights.” In C. </w:t>
      </w:r>
      <w:proofErr w:type="spellStart"/>
      <w:r w:rsidRPr="009F6B59">
        <w:rPr>
          <w:rFonts w:ascii="Garamond" w:hAnsi="Garamond"/>
        </w:rPr>
        <w:t>Brolmann</w:t>
      </w:r>
      <w:proofErr w:type="spellEnd"/>
      <w:r w:rsidRPr="009F6B59">
        <w:rPr>
          <w:rFonts w:ascii="Garamond" w:hAnsi="Garamond"/>
        </w:rPr>
        <w:t xml:space="preserve"> et al., </w:t>
      </w:r>
      <w:r w:rsidRPr="009F6B59">
        <w:rPr>
          <w:rFonts w:ascii="Garamond" w:hAnsi="Garamond"/>
          <w:i/>
          <w:iCs/>
        </w:rPr>
        <w:t>Peoples and Minorities in International Law</w:t>
      </w:r>
      <w:r w:rsidRPr="009F6B59">
        <w:rPr>
          <w:rFonts w:ascii="Garamond" w:hAnsi="Garamond"/>
        </w:rPr>
        <w:t xml:space="preserve">. The Hague: Kluwer. </w:t>
      </w:r>
    </w:p>
    <w:p w14:paraId="6522138C"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1992b. “Twentieth Century Realism.” In David </w:t>
      </w:r>
      <w:proofErr w:type="spellStart"/>
      <w:r w:rsidRPr="009F6B59">
        <w:rPr>
          <w:rFonts w:ascii="Garamond" w:hAnsi="Garamond"/>
        </w:rPr>
        <w:t>Mapel</w:t>
      </w:r>
      <w:proofErr w:type="spellEnd"/>
      <w:r w:rsidRPr="009F6B59">
        <w:rPr>
          <w:rFonts w:ascii="Garamond" w:hAnsi="Garamond"/>
        </w:rPr>
        <w:t xml:space="preserve"> and Terry Nardin, </w:t>
      </w:r>
      <w:r w:rsidRPr="009F6B59">
        <w:rPr>
          <w:rFonts w:ascii="Garamond" w:hAnsi="Garamond"/>
          <w:i/>
          <w:iCs/>
        </w:rPr>
        <w:t>Traditions of International Ethics</w:t>
      </w:r>
      <w:r w:rsidRPr="009F6B59">
        <w:rPr>
          <w:rFonts w:ascii="Garamond" w:hAnsi="Garamond"/>
        </w:rPr>
        <w:t xml:space="preserve">. Cambridge: Cambridge University Press. </w:t>
      </w:r>
    </w:p>
    <w:p w14:paraId="6754C30A"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1992c. “Conceptual Issues in Monitoring Human Rights Violations.” In Alex P. Schmid and Albert J. </w:t>
      </w:r>
      <w:proofErr w:type="spellStart"/>
      <w:r w:rsidRPr="009F6B59">
        <w:rPr>
          <w:rFonts w:ascii="Garamond" w:hAnsi="Garamond"/>
        </w:rPr>
        <w:t>Jongman</w:t>
      </w:r>
      <w:proofErr w:type="spellEnd"/>
      <w:r w:rsidRPr="009F6B59">
        <w:rPr>
          <w:rFonts w:ascii="Garamond" w:hAnsi="Garamond"/>
        </w:rPr>
        <w:t xml:space="preserve"> (eds.), </w:t>
      </w:r>
      <w:r w:rsidRPr="009F6B59">
        <w:rPr>
          <w:rFonts w:ascii="Garamond" w:hAnsi="Garamond"/>
          <w:i/>
          <w:iCs/>
        </w:rPr>
        <w:t>Monitoring Human Rights Violations</w:t>
      </w:r>
      <w:r w:rsidRPr="009F6B59">
        <w:rPr>
          <w:rFonts w:ascii="Garamond" w:hAnsi="Garamond"/>
        </w:rPr>
        <w:t xml:space="preserve">. Leiden: Center for the Study of Social Conflicts. </w:t>
      </w:r>
    </w:p>
    <w:p w14:paraId="39CB4707"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1992d</w:t>
      </w:r>
      <w:r w:rsidRPr="009F6B59">
        <w:rPr>
          <w:rFonts w:ascii="Garamond" w:hAnsi="Garamond"/>
        </w:rPr>
        <w:t xml:space="preserve">. “The United Nations and the Global Drug Control Regime.” In Peter H. Smith, </w:t>
      </w:r>
      <w:r w:rsidRPr="009F6B59">
        <w:rPr>
          <w:rFonts w:ascii="Garamond" w:hAnsi="Garamond"/>
          <w:i/>
          <w:iCs/>
        </w:rPr>
        <w:t>Drug Policy in the Americas</w:t>
      </w:r>
      <w:r w:rsidRPr="009F6B59">
        <w:rPr>
          <w:rFonts w:ascii="Garamond" w:hAnsi="Garamond"/>
        </w:rPr>
        <w:t xml:space="preserve">. Boulder, CO: Westview Press. </w:t>
      </w:r>
    </w:p>
    <w:p w14:paraId="46709CB4"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 xml:space="preserve">1991a. “Security, Human Rights and East-West Relations: Theoretical Bases of the Linkage.” In Jan </w:t>
      </w:r>
      <w:proofErr w:type="spellStart"/>
      <w:r w:rsidRPr="009F6B59">
        <w:rPr>
          <w:rFonts w:ascii="Garamond" w:hAnsi="Garamond"/>
        </w:rPr>
        <w:t>Zielonka</w:t>
      </w:r>
      <w:proofErr w:type="spellEnd"/>
      <w:r w:rsidRPr="009F6B59">
        <w:rPr>
          <w:rFonts w:ascii="Garamond" w:hAnsi="Garamond"/>
        </w:rPr>
        <w:t xml:space="preserve"> and </w:t>
      </w:r>
      <w:proofErr w:type="spellStart"/>
      <w:r w:rsidRPr="009F6B59">
        <w:rPr>
          <w:rFonts w:ascii="Garamond" w:hAnsi="Garamond"/>
        </w:rPr>
        <w:t>Voitech</w:t>
      </w:r>
      <w:proofErr w:type="spellEnd"/>
      <w:r w:rsidRPr="009F6B59">
        <w:rPr>
          <w:rFonts w:ascii="Garamond" w:hAnsi="Garamond"/>
        </w:rPr>
        <w:t xml:space="preserve"> </w:t>
      </w:r>
      <w:proofErr w:type="spellStart"/>
      <w:r w:rsidRPr="009F6B59">
        <w:rPr>
          <w:rFonts w:ascii="Garamond" w:hAnsi="Garamond"/>
        </w:rPr>
        <w:t>Mastny</w:t>
      </w:r>
      <w:proofErr w:type="spellEnd"/>
      <w:r w:rsidRPr="009F6B59">
        <w:rPr>
          <w:rFonts w:ascii="Garamond" w:hAnsi="Garamond"/>
        </w:rPr>
        <w:t xml:space="preserve">, </w:t>
      </w:r>
      <w:r w:rsidRPr="009F6B59">
        <w:rPr>
          <w:rFonts w:ascii="Garamond" w:hAnsi="Garamond"/>
          <w:i/>
          <w:iCs/>
        </w:rPr>
        <w:t>Human Rights and Security: Europe on the Eve of a New Era</w:t>
      </w:r>
      <w:r w:rsidRPr="009F6B59">
        <w:rPr>
          <w:rFonts w:ascii="Garamond" w:hAnsi="Garamond"/>
        </w:rPr>
        <w:t xml:space="preserve">. Boulder, CO: Westview Press. </w:t>
      </w:r>
    </w:p>
    <w:p w14:paraId="693871F7"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lastRenderedPageBreak/>
        <w:t xml:space="preserve">1991b. “Defining and Conceptualizing Progress in International Relations.” In Emmanuel Adler and Beverly Crawford, </w:t>
      </w:r>
      <w:r w:rsidRPr="009F6B59">
        <w:rPr>
          <w:rFonts w:ascii="Garamond" w:hAnsi="Garamond"/>
          <w:i/>
          <w:iCs/>
        </w:rPr>
        <w:t>Progress in Postwar International Relations</w:t>
      </w:r>
      <w:r w:rsidRPr="009F6B59">
        <w:rPr>
          <w:rFonts w:ascii="Garamond" w:hAnsi="Garamond"/>
        </w:rPr>
        <w:t xml:space="preserve">. New York: Columbia University Press. (co-author with Emmanuel Adler and Beverly Crawford) </w:t>
      </w:r>
    </w:p>
    <w:p w14:paraId="357902FF"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1990b</w:t>
      </w:r>
      <w:r w:rsidRPr="009F6B59">
        <w:rPr>
          <w:rFonts w:ascii="Garamond" w:hAnsi="Garamond"/>
        </w:rPr>
        <w:t xml:space="preserve">. “Traditional Values and Universal Human Rights: Caste in India.” In Claude E. Welch, Jr. and Virginia A. Leary, </w:t>
      </w:r>
      <w:r w:rsidRPr="009F6B59">
        <w:rPr>
          <w:rFonts w:ascii="Garamond" w:hAnsi="Garamond"/>
          <w:i/>
          <w:iCs/>
        </w:rPr>
        <w:t>Asian Perspectives on Human Rights</w:t>
      </w:r>
      <w:r w:rsidRPr="009F6B59">
        <w:rPr>
          <w:rFonts w:ascii="Garamond" w:hAnsi="Garamond"/>
        </w:rPr>
        <w:t xml:space="preserve">. Boulder, CO: Westview Press. </w:t>
      </w:r>
    </w:p>
    <w:p w14:paraId="7E74CA8C" w14:textId="77777777" w:rsidR="006756F2" w:rsidRPr="009F6B59" w:rsidRDefault="006756F2" w:rsidP="006756F2">
      <w:pPr>
        <w:pStyle w:val="NormalWeb"/>
        <w:spacing w:before="0" w:beforeAutospacing="0" w:after="120" w:afterAutospacing="0"/>
        <w:ind w:left="720"/>
        <w:rPr>
          <w:rFonts w:ascii="Garamond" w:hAnsi="Garamond"/>
        </w:rPr>
      </w:pPr>
      <w:r>
        <w:rPr>
          <w:rFonts w:ascii="Garamond" w:hAnsi="Garamond"/>
        </w:rPr>
        <w:t>1990c</w:t>
      </w:r>
      <w:r w:rsidRPr="009F6B59">
        <w:rPr>
          <w:rFonts w:ascii="Garamond" w:hAnsi="Garamond"/>
        </w:rPr>
        <w:t xml:space="preserve">. “Human Rights, Individual Rights and Collective Rights.” In Jan Berting et al., </w:t>
      </w:r>
      <w:r w:rsidRPr="009F6B59">
        <w:rPr>
          <w:rFonts w:ascii="Garamond" w:hAnsi="Garamond"/>
          <w:i/>
          <w:iCs/>
        </w:rPr>
        <w:t>Human Rights in a Pluralist World: Individuals and Collectivities</w:t>
      </w:r>
      <w:r w:rsidRPr="009F6B59">
        <w:rPr>
          <w:rFonts w:ascii="Garamond" w:hAnsi="Garamond"/>
        </w:rPr>
        <w:t xml:space="preserve">. Westport, CT: Meckler (for the Netherlands Commission for UNESCO and the Roosevelt Study Center). </w:t>
      </w:r>
    </w:p>
    <w:p w14:paraId="618B5BDC" w14:textId="77777777" w:rsidR="006756F2" w:rsidRDefault="006756F2" w:rsidP="006756F2">
      <w:pPr>
        <w:pStyle w:val="NormalWeb"/>
        <w:spacing w:before="0" w:beforeAutospacing="0" w:after="120" w:afterAutospacing="0"/>
        <w:ind w:left="720"/>
        <w:rPr>
          <w:rFonts w:ascii="Garamond" w:hAnsi="Garamond"/>
        </w:rPr>
      </w:pPr>
      <w:r w:rsidRPr="009F6B59">
        <w:rPr>
          <w:rFonts w:ascii="Garamond" w:hAnsi="Garamond"/>
        </w:rPr>
        <w:t>199</w:t>
      </w:r>
      <w:r>
        <w:rPr>
          <w:rFonts w:ascii="Garamond" w:hAnsi="Garamond"/>
        </w:rPr>
        <w:t>0d</w:t>
      </w:r>
      <w:r w:rsidRPr="009F6B59">
        <w:rPr>
          <w:rFonts w:ascii="Garamond" w:hAnsi="Garamond"/>
        </w:rPr>
        <w:t xml:space="preserve">. “Human Rights and Western Liberalism.” In Abdulahi Ahmed An-Na'im and Francis M. Deng, </w:t>
      </w:r>
      <w:r w:rsidRPr="009F6B59">
        <w:rPr>
          <w:rFonts w:ascii="Garamond" w:hAnsi="Garamond"/>
          <w:i/>
          <w:iCs/>
        </w:rPr>
        <w:t>Human Rights in Africa: Cross-Cultural Perspectives</w:t>
      </w:r>
      <w:r w:rsidRPr="009F6B59">
        <w:rPr>
          <w:rFonts w:ascii="Garamond" w:hAnsi="Garamond"/>
        </w:rPr>
        <w:t xml:space="preserve">. Washington, DC: The Brookings Institution. </w:t>
      </w:r>
    </w:p>
    <w:p w14:paraId="3A5002A1" w14:textId="77777777" w:rsidR="006756F2" w:rsidRPr="009F6B59" w:rsidRDefault="006756F2" w:rsidP="006756F2">
      <w:pPr>
        <w:pStyle w:val="NormalWeb"/>
        <w:spacing w:before="0" w:beforeAutospacing="0" w:after="120" w:afterAutospacing="0"/>
        <w:ind w:left="720"/>
        <w:rPr>
          <w:rFonts w:ascii="Garamond" w:hAnsi="Garamond"/>
        </w:rPr>
      </w:pPr>
      <w:r w:rsidRPr="009F6B59">
        <w:rPr>
          <w:rFonts w:ascii="Garamond" w:hAnsi="Garamond"/>
        </w:rPr>
        <w:t>1989</w:t>
      </w:r>
      <w:r>
        <w:rPr>
          <w:rFonts w:ascii="Garamond" w:hAnsi="Garamond"/>
        </w:rPr>
        <w:t>a</w:t>
      </w:r>
      <w:r w:rsidRPr="009F6B59">
        <w:rPr>
          <w:rFonts w:ascii="Garamond" w:hAnsi="Garamond"/>
        </w:rPr>
        <w:t xml:space="preserve">. “Repression and Development: The Political Contingency of Human Rights Tradeoffs.” In David P. Forsythe, </w:t>
      </w:r>
      <w:r w:rsidRPr="009F6B59">
        <w:rPr>
          <w:rFonts w:ascii="Garamond" w:hAnsi="Garamond"/>
          <w:i/>
          <w:iCs/>
        </w:rPr>
        <w:t>Human Rights and Development</w:t>
      </w:r>
      <w:r w:rsidRPr="009F6B59">
        <w:rPr>
          <w:rFonts w:ascii="Garamond" w:hAnsi="Garamond"/>
        </w:rPr>
        <w:t xml:space="preserve">. London: Macmillan, New York: St. Martin's. </w:t>
      </w:r>
    </w:p>
    <w:p w14:paraId="2A81B00F" w14:textId="77777777" w:rsidR="006756F2" w:rsidRDefault="006756F2" w:rsidP="006756F2">
      <w:pPr>
        <w:pStyle w:val="NormalWeb"/>
        <w:spacing w:before="0" w:beforeAutospacing="0" w:after="120" w:afterAutospacing="0"/>
        <w:ind w:left="720"/>
        <w:rPr>
          <w:rFonts w:ascii="Garamond" w:hAnsi="Garamond"/>
        </w:rPr>
      </w:pPr>
      <w:r>
        <w:rPr>
          <w:rFonts w:ascii="Garamond" w:hAnsi="Garamond"/>
        </w:rPr>
        <w:t>1984d</w:t>
      </w:r>
      <w:r w:rsidRPr="009F6B59">
        <w:rPr>
          <w:rFonts w:ascii="Garamond" w:hAnsi="Garamond"/>
        </w:rPr>
        <w:t xml:space="preserve">. “The 'Right to Development': How Not to Link Human Rights and Development.” In Claude E. Welch, Jr. and Ronald I. Meltzer, </w:t>
      </w:r>
      <w:r w:rsidRPr="009F6B59">
        <w:rPr>
          <w:rFonts w:ascii="Garamond" w:hAnsi="Garamond"/>
          <w:i/>
          <w:iCs/>
        </w:rPr>
        <w:t>Human Rights and Development in Africa</w:t>
      </w:r>
      <w:r w:rsidRPr="009F6B59">
        <w:rPr>
          <w:rFonts w:ascii="Garamond" w:hAnsi="Garamond"/>
        </w:rPr>
        <w:t xml:space="preserve">. Albany: State University of New York Press. </w:t>
      </w:r>
    </w:p>
    <w:p w14:paraId="4C4BF38F" w14:textId="77777777" w:rsidR="006756F2" w:rsidRDefault="006756F2" w:rsidP="006756F2">
      <w:pPr>
        <w:spacing w:before="240"/>
        <w:rPr>
          <w:b/>
          <w:bCs/>
          <w:sz w:val="27"/>
          <w:szCs w:val="27"/>
        </w:rPr>
      </w:pPr>
      <w:r>
        <w:rPr>
          <w:b/>
          <w:bCs/>
          <w:sz w:val="27"/>
          <w:szCs w:val="27"/>
        </w:rPr>
        <w:t>Work in Progress</w:t>
      </w:r>
    </w:p>
    <w:p w14:paraId="7244DEF7" w14:textId="4BF94F8D" w:rsidR="004E2D6B" w:rsidRDefault="004E2D6B" w:rsidP="006756F2">
      <w:pPr>
        <w:ind w:left="720"/>
      </w:pPr>
      <w:r>
        <w:t>“Beyond Causal Inference:  Taking Mechanisms, Systems, and Relations Seriously.”</w:t>
      </w:r>
    </w:p>
    <w:p w14:paraId="1E765F3F" w14:textId="1C93EF02" w:rsidR="006756F2" w:rsidRDefault="006756F2" w:rsidP="006756F2">
      <w:pPr>
        <w:ind w:left="720"/>
      </w:pPr>
      <w:r>
        <w:t>“Relationalism is Not Enough:  Towards a Processual IR.”</w:t>
      </w:r>
    </w:p>
    <w:p w14:paraId="3E30B11B" w14:textId="77777777" w:rsidR="006756F2" w:rsidRPr="009F0921" w:rsidRDefault="006756F2" w:rsidP="006756F2">
      <w:pPr>
        <w:ind w:left="720"/>
      </w:pPr>
      <w:r>
        <w:t>“Beyond Process Tracing:  Studying Processes (Not Just Causal Pathways).”</w:t>
      </w:r>
    </w:p>
    <w:p w14:paraId="6D071BA4" w14:textId="77777777" w:rsidR="006756F2" w:rsidRPr="00230632" w:rsidRDefault="006756F2" w:rsidP="006756F2">
      <w:pPr>
        <w:pStyle w:val="NormalWeb"/>
        <w:spacing w:before="360" w:beforeAutospacing="0"/>
        <w:rPr>
          <w:rFonts w:ascii="Garamond" w:hAnsi="Garamond"/>
          <w:smallCaps/>
        </w:rPr>
      </w:pPr>
      <w:r w:rsidRPr="00230632">
        <w:rPr>
          <w:rFonts w:ascii="Garamond" w:hAnsi="Garamond"/>
          <w:b/>
          <w:bCs/>
          <w:smallCaps/>
          <w:sz w:val="36"/>
          <w:szCs w:val="36"/>
        </w:rPr>
        <w:t xml:space="preserve">Referee </w:t>
      </w:r>
    </w:p>
    <w:p w14:paraId="44BC63AE" w14:textId="22600FAB" w:rsidR="006756F2" w:rsidRPr="009F6B59" w:rsidRDefault="006756F2" w:rsidP="006756F2">
      <w:pPr>
        <w:pStyle w:val="NormalWeb"/>
        <w:spacing w:before="0" w:beforeAutospacing="0" w:afterAutospacing="0"/>
        <w:ind w:left="720"/>
        <w:rPr>
          <w:rFonts w:ascii="Garamond" w:hAnsi="Garamond"/>
        </w:rPr>
      </w:pPr>
      <w:r w:rsidRPr="009F6B59">
        <w:rPr>
          <w:rFonts w:ascii="Garamond" w:hAnsi="Garamond"/>
          <w:b/>
          <w:bCs/>
        </w:rPr>
        <w:t>Journals</w:t>
      </w:r>
      <w:r w:rsidRPr="009F6B59">
        <w:rPr>
          <w:rFonts w:ascii="Garamond" w:hAnsi="Garamond"/>
        </w:rPr>
        <w:t xml:space="preserve">: American Political Science Review, Australian Journal of Political Science, British Journal of Political Science, Cambridge Review of International Affairs, Canadian Journal of African Studies, Comparative Political Studies, Connecticut Review, European Journal of International Relations (Editorial Committee 2004-2009), Global Governance, Human Rights Quarterly, International Affairs (International </w:t>
      </w:r>
      <w:r>
        <w:rPr>
          <w:rFonts w:ascii="Garamond" w:hAnsi="Garamond"/>
        </w:rPr>
        <w:t>Editorial Advisory Board, 2008-2015</w:t>
      </w:r>
      <w:r w:rsidRPr="009F6B59">
        <w:rPr>
          <w:rFonts w:ascii="Garamond" w:hAnsi="Garamond"/>
        </w:rPr>
        <w:t xml:space="preserve">), International Organization (Editorial Board, 1991-1996), International Relations (Editorial Board 2001-2006), International Studies Quarterly, International Theory (Editorial Board 2007- ), Journal of International Relations and Development, Journal of Peace Research, Journal of Political Philosophy, Journal of Politics, Journal of Human Rights (Editorial Board, 2002- ), Millennium, Muslim World Journal of Human Rights (Editorial Board </w:t>
      </w:r>
      <w:r>
        <w:rPr>
          <w:rFonts w:ascii="Garamond" w:hAnsi="Garamond"/>
        </w:rPr>
        <w:br/>
      </w:r>
      <w:r w:rsidRPr="009F6B59">
        <w:rPr>
          <w:rFonts w:ascii="Garamond" w:hAnsi="Garamond"/>
        </w:rPr>
        <w:t>2004</w:t>
      </w:r>
      <w:r>
        <w:rPr>
          <w:rFonts w:ascii="Garamond" w:hAnsi="Garamond"/>
        </w:rPr>
        <w:t xml:space="preserve">- </w:t>
      </w:r>
      <w:r w:rsidRPr="009F6B59">
        <w:rPr>
          <w:rFonts w:ascii="Garamond" w:hAnsi="Garamond"/>
        </w:rPr>
        <w:t>), Nordic Journal of Human Rights (Advisory Editorial Board, 2010-</w:t>
      </w:r>
      <w:r w:rsidR="004E2D6B">
        <w:rPr>
          <w:rFonts w:ascii="Garamond" w:hAnsi="Garamond"/>
        </w:rPr>
        <w:t>2023</w:t>
      </w:r>
      <w:r w:rsidRPr="009F6B59">
        <w:rPr>
          <w:rFonts w:ascii="Garamond" w:hAnsi="Garamond"/>
        </w:rPr>
        <w:t xml:space="preserve">), Political Science Quarterly, Political Theory, Polity, PS, Review of International Studies (Editorial Board, 2001-2004), Soviet Union/Union </w:t>
      </w:r>
      <w:proofErr w:type="spellStart"/>
      <w:r w:rsidRPr="009F6B59">
        <w:rPr>
          <w:rFonts w:ascii="Garamond" w:hAnsi="Garamond"/>
        </w:rPr>
        <w:t>Sovietique</w:t>
      </w:r>
      <w:proofErr w:type="spellEnd"/>
      <w:r w:rsidRPr="009F6B59">
        <w:rPr>
          <w:rFonts w:ascii="Garamond" w:hAnsi="Garamond"/>
        </w:rPr>
        <w:t>.</w:t>
      </w:r>
    </w:p>
    <w:p w14:paraId="0A48E2DB" w14:textId="77777777" w:rsidR="006756F2" w:rsidRPr="009F6B59" w:rsidRDefault="006756F2" w:rsidP="006756F2">
      <w:pPr>
        <w:pStyle w:val="NormalWeb"/>
        <w:spacing w:before="0" w:beforeAutospacing="0" w:afterAutospacing="0"/>
        <w:ind w:left="720"/>
        <w:rPr>
          <w:rFonts w:ascii="Garamond" w:hAnsi="Garamond"/>
        </w:rPr>
      </w:pPr>
      <w:r w:rsidRPr="009F6B59">
        <w:rPr>
          <w:rFonts w:ascii="Garamond" w:hAnsi="Garamond"/>
          <w:b/>
          <w:bCs/>
        </w:rPr>
        <w:t>Publishers</w:t>
      </w:r>
      <w:r w:rsidRPr="009F6B59">
        <w:rPr>
          <w:rFonts w:ascii="Garamond" w:hAnsi="Garamond"/>
        </w:rPr>
        <w:t xml:space="preserve">: Cambridge University Press, Cornell University Press, Duke University Press, Harper-Collins, Johns Hopkins University Press, McGill-Queens University Press, University of Nebraska Press, Oxford University Press, Palgrave, University of Pennsylvania Press, </w:t>
      </w:r>
      <w:r w:rsidRPr="009F6B59">
        <w:rPr>
          <w:rFonts w:ascii="Garamond" w:hAnsi="Garamond"/>
        </w:rPr>
        <w:lastRenderedPageBreak/>
        <w:t xml:space="preserve">Penn State University Press, Prentice-Hall, Princeton University Press, Random House, Lynne </w:t>
      </w:r>
      <w:proofErr w:type="spellStart"/>
      <w:r w:rsidRPr="009F6B59">
        <w:rPr>
          <w:rFonts w:ascii="Garamond" w:hAnsi="Garamond"/>
        </w:rPr>
        <w:t>Reinner</w:t>
      </w:r>
      <w:proofErr w:type="spellEnd"/>
      <w:r w:rsidRPr="009F6B59">
        <w:rPr>
          <w:rFonts w:ascii="Garamond" w:hAnsi="Garamond"/>
        </w:rPr>
        <w:t xml:space="preserve"> Press, Rowman &amp; Littlefield, Temple University Press, Westview Press.</w:t>
      </w:r>
    </w:p>
    <w:p w14:paraId="29339A77" w14:textId="77777777" w:rsidR="006756F2" w:rsidRPr="009F6B59" w:rsidRDefault="006756F2" w:rsidP="006756F2">
      <w:pPr>
        <w:pStyle w:val="NormalWeb"/>
        <w:spacing w:before="0" w:beforeAutospacing="0" w:afterAutospacing="0"/>
        <w:ind w:left="720"/>
        <w:rPr>
          <w:rFonts w:ascii="Garamond" w:hAnsi="Garamond"/>
        </w:rPr>
      </w:pPr>
      <w:r w:rsidRPr="009F6B59">
        <w:rPr>
          <w:rFonts w:ascii="Garamond" w:hAnsi="Garamond"/>
          <w:b/>
          <w:bCs/>
        </w:rPr>
        <w:t>Funding Agencies</w:t>
      </w:r>
      <w:r w:rsidRPr="009F6B59">
        <w:rPr>
          <w:rFonts w:ascii="Garamond" w:hAnsi="Garamond"/>
        </w:rPr>
        <w:t xml:space="preserve">: National Endowment for the Humanities, National Science Foundation, </w:t>
      </w:r>
      <w:r>
        <w:rPr>
          <w:rFonts w:ascii="Garamond" w:hAnsi="Garamond"/>
        </w:rPr>
        <w:t xml:space="preserve">Netherlands Organization for Scientific Research (NOW), </w:t>
      </w:r>
      <w:r w:rsidRPr="009F6B59">
        <w:rPr>
          <w:rFonts w:ascii="Garamond" w:hAnsi="Garamond"/>
        </w:rPr>
        <w:t xml:space="preserve">Social Sciences Federation of Canada, Social Sciences and Humanities Research Council of Canada, </w:t>
      </w:r>
      <w:r>
        <w:rPr>
          <w:rFonts w:ascii="Garamond" w:hAnsi="Garamond"/>
        </w:rPr>
        <w:t xml:space="preserve">Swiss National Science Foundation, </w:t>
      </w:r>
      <w:r w:rsidRPr="009F6B59">
        <w:rPr>
          <w:rFonts w:ascii="Garamond" w:hAnsi="Garamond"/>
        </w:rPr>
        <w:t xml:space="preserve">U.S. Department of Education, United States Institute of Peace. </w:t>
      </w:r>
    </w:p>
    <w:p w14:paraId="3BB995D5" w14:textId="77777777" w:rsidR="006756F2" w:rsidRPr="009F6B59" w:rsidRDefault="006756F2" w:rsidP="006756F2">
      <w:pPr>
        <w:pStyle w:val="NormalWeb"/>
        <w:spacing w:before="0" w:beforeAutospacing="0" w:afterAutospacing="0"/>
        <w:ind w:left="720"/>
        <w:rPr>
          <w:rFonts w:ascii="Garamond" w:hAnsi="Garamond"/>
        </w:rPr>
      </w:pPr>
      <w:r w:rsidRPr="009F6B59">
        <w:rPr>
          <w:rFonts w:ascii="Garamond" w:hAnsi="Garamond"/>
          <w:b/>
          <w:bCs/>
        </w:rPr>
        <w:t>Tenure and Promotion</w:t>
      </w:r>
      <w:r w:rsidRPr="009F6B59">
        <w:rPr>
          <w:rFonts w:ascii="Garamond" w:hAnsi="Garamond"/>
        </w:rPr>
        <w:t xml:space="preserve">: American University, Brown University, City University of New York, </w:t>
      </w:r>
      <w:r>
        <w:rPr>
          <w:rFonts w:ascii="Garamond" w:hAnsi="Garamond"/>
        </w:rPr>
        <w:t xml:space="preserve">Colorado School of Mines, University of Colorado at Denver, Columbia University, </w:t>
      </w:r>
      <w:r w:rsidRPr="009F6B59">
        <w:rPr>
          <w:rFonts w:ascii="Garamond" w:hAnsi="Garamond"/>
        </w:rPr>
        <w:t xml:space="preserve">Drexel University, Essex University, </w:t>
      </w:r>
      <w:r>
        <w:rPr>
          <w:rFonts w:ascii="Garamond" w:hAnsi="Garamond"/>
        </w:rPr>
        <w:t xml:space="preserve">Flinders University, </w:t>
      </w:r>
      <w:r w:rsidRPr="009F6B59">
        <w:rPr>
          <w:rFonts w:ascii="Garamond" w:hAnsi="Garamond"/>
        </w:rPr>
        <w:t xml:space="preserve">Franklin and Marshall University, Georgetown University, Georgia Technological Institute, </w:t>
      </w:r>
      <w:r>
        <w:rPr>
          <w:rFonts w:ascii="Garamond" w:hAnsi="Garamond"/>
        </w:rPr>
        <w:t xml:space="preserve">Harvard University, </w:t>
      </w:r>
      <w:r w:rsidRPr="009F6B59">
        <w:rPr>
          <w:rFonts w:ascii="Garamond" w:hAnsi="Garamond"/>
        </w:rPr>
        <w:t>University of California at Irvine</w:t>
      </w:r>
      <w:r>
        <w:rPr>
          <w:rFonts w:ascii="Garamond" w:hAnsi="Garamond"/>
        </w:rPr>
        <w:t xml:space="preserve">, Johns Hopkins University, </w:t>
      </w:r>
      <w:r w:rsidRPr="009F6B59">
        <w:rPr>
          <w:rFonts w:ascii="Garamond" w:hAnsi="Garamond"/>
        </w:rPr>
        <w:t xml:space="preserve">Keele University, </w:t>
      </w:r>
      <w:r>
        <w:rPr>
          <w:rFonts w:ascii="Garamond" w:hAnsi="Garamond"/>
        </w:rPr>
        <w:t xml:space="preserve">Lewis and Clark College, </w:t>
      </w:r>
      <w:r w:rsidRPr="009F6B59">
        <w:rPr>
          <w:rFonts w:ascii="Garamond" w:hAnsi="Garamond"/>
        </w:rPr>
        <w:t>Marquette University, University of Massachusetts at Amherst, University of Minnesota, University of Nebraska at Lincoln, Northwestern University, University of Notre Dame, University of Oregon,</w:t>
      </w:r>
      <w:r w:rsidRPr="00464E3B">
        <w:rPr>
          <w:rFonts w:ascii="Garamond" w:hAnsi="Garamond"/>
        </w:rPr>
        <w:t xml:space="preserve"> </w:t>
      </w:r>
      <w:r w:rsidRPr="009F6B59">
        <w:rPr>
          <w:rFonts w:ascii="Garamond" w:hAnsi="Garamond"/>
        </w:rPr>
        <w:t xml:space="preserve">University of California at </w:t>
      </w:r>
      <w:r>
        <w:rPr>
          <w:rFonts w:ascii="Garamond" w:hAnsi="Garamond"/>
        </w:rPr>
        <w:t>Santa Barbara</w:t>
      </w:r>
      <w:r w:rsidRPr="009F6B59">
        <w:rPr>
          <w:rFonts w:ascii="Garamond" w:hAnsi="Garamond"/>
        </w:rPr>
        <w:t xml:space="preserve">, Santa Clara University, University of Southampton, Sussex University, Syracuse University, Trinity College, </w:t>
      </w:r>
      <w:r>
        <w:rPr>
          <w:rFonts w:ascii="Garamond" w:hAnsi="Garamond"/>
        </w:rPr>
        <w:t xml:space="preserve">University of Washington, </w:t>
      </w:r>
      <w:r w:rsidRPr="009F6B59">
        <w:rPr>
          <w:rFonts w:ascii="Garamond" w:hAnsi="Garamond"/>
        </w:rPr>
        <w:t>University of Wisconsi</w:t>
      </w:r>
      <w:r>
        <w:rPr>
          <w:rFonts w:ascii="Garamond" w:hAnsi="Garamond"/>
        </w:rPr>
        <w:t>n-Milwaukee, University of Utah, Wellesley College.</w:t>
      </w:r>
    </w:p>
    <w:p w14:paraId="59B5D49C" w14:textId="77777777" w:rsidR="006756F2" w:rsidRPr="00983D85" w:rsidRDefault="006756F2" w:rsidP="006756F2">
      <w:pPr>
        <w:pStyle w:val="NormalWeb"/>
        <w:spacing w:before="0" w:beforeAutospacing="0" w:afterAutospacing="0"/>
        <w:ind w:left="720"/>
        <w:rPr>
          <w:rFonts w:ascii="Garamond" w:hAnsi="Garamond"/>
        </w:rPr>
      </w:pPr>
      <w:r w:rsidRPr="009F6B59">
        <w:rPr>
          <w:rFonts w:ascii="Garamond" w:hAnsi="Garamond"/>
          <w:b/>
          <w:bCs/>
        </w:rPr>
        <w:t>External PhD Reviewer</w:t>
      </w:r>
      <w:r w:rsidRPr="009F6B59">
        <w:rPr>
          <w:rFonts w:ascii="Garamond" w:hAnsi="Garamond"/>
        </w:rPr>
        <w:t xml:space="preserve">: Australian National University, </w:t>
      </w:r>
      <w:r>
        <w:rPr>
          <w:rFonts w:ascii="Garamond" w:hAnsi="Garamond"/>
        </w:rPr>
        <w:t xml:space="preserve">Balsillie School of International Affairs, London School of Economics, </w:t>
      </w:r>
      <w:r w:rsidRPr="009F6B59">
        <w:rPr>
          <w:rFonts w:ascii="Garamond" w:hAnsi="Garamond"/>
        </w:rPr>
        <w:t xml:space="preserve">University of Sydney, University of Otago.  </w:t>
      </w:r>
      <w:bookmarkStart w:id="4" w:name="OLE_LINK11"/>
      <w:bookmarkStart w:id="5" w:name="OLE_LINK12"/>
      <w:bookmarkStart w:id="6" w:name="OLE_LINK13"/>
    </w:p>
    <w:bookmarkEnd w:id="4"/>
    <w:bookmarkEnd w:id="5"/>
    <w:bookmarkEnd w:id="6"/>
    <w:p w14:paraId="2FAA4269" w14:textId="77777777" w:rsidR="006756F2" w:rsidRPr="009F6B59" w:rsidRDefault="006756F2" w:rsidP="006756F2">
      <w:pPr>
        <w:pStyle w:val="NormalWeb"/>
        <w:spacing w:before="0" w:beforeAutospacing="0"/>
        <w:jc w:val="center"/>
        <w:rPr>
          <w:rFonts w:ascii="Garamond" w:hAnsi="Garamond"/>
        </w:rPr>
      </w:pPr>
    </w:p>
    <w:p w14:paraId="31C2728A" w14:textId="77777777" w:rsidR="006756F2" w:rsidRPr="009F6B59" w:rsidRDefault="006756F2" w:rsidP="006756F2"/>
    <w:bookmarkEnd w:id="0"/>
    <w:bookmarkEnd w:id="1"/>
    <w:p w14:paraId="3DCFEECD" w14:textId="77777777" w:rsidR="006756F2" w:rsidRPr="009F6B59" w:rsidRDefault="006756F2" w:rsidP="000D4DB1">
      <w:pPr>
        <w:pStyle w:val="NormalWeb"/>
        <w:spacing w:before="0" w:beforeAutospacing="0" w:after="40" w:afterAutospacing="0"/>
        <w:ind w:firstLine="288"/>
        <w:rPr>
          <w:rFonts w:ascii="Garamond" w:hAnsi="Garamond"/>
        </w:rPr>
      </w:pPr>
    </w:p>
    <w:sectPr w:rsidR="006756F2" w:rsidRPr="009F6B59" w:rsidSect="00D34906">
      <w:headerReference w:type="even" r:id="rId9"/>
      <w:head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A117D5" w14:textId="77777777" w:rsidR="00A32767" w:rsidRDefault="00A32767">
      <w:r>
        <w:separator/>
      </w:r>
    </w:p>
  </w:endnote>
  <w:endnote w:type="continuationSeparator" w:id="0">
    <w:p w14:paraId="537D7380" w14:textId="77777777" w:rsidR="00A32767" w:rsidRDefault="00A32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altName w:val="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B0604020202020204"/>
    <w:charset w:val="4D"/>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B7D7A5" w14:textId="77777777" w:rsidR="00A32767" w:rsidRDefault="00A32767">
      <w:r>
        <w:separator/>
      </w:r>
    </w:p>
  </w:footnote>
  <w:footnote w:type="continuationSeparator" w:id="0">
    <w:p w14:paraId="7BB8B4AF" w14:textId="77777777" w:rsidR="00A32767" w:rsidRDefault="00A327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189E6" w14:textId="77777777" w:rsidR="00440FD6" w:rsidRDefault="00440FD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94186A" w14:textId="77777777" w:rsidR="00440FD6" w:rsidRDefault="00440FD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6ADE3A" w14:textId="7DD6482B" w:rsidR="00440FD6" w:rsidRDefault="00440FD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B73E5">
      <w:rPr>
        <w:rStyle w:val="PageNumber"/>
        <w:noProof/>
      </w:rPr>
      <w:t>10</w:t>
    </w:r>
    <w:r>
      <w:rPr>
        <w:rStyle w:val="PageNumber"/>
      </w:rPr>
      <w:fldChar w:fldCharType="end"/>
    </w:r>
  </w:p>
  <w:p w14:paraId="56DC090C" w14:textId="77777777" w:rsidR="00440FD6" w:rsidRDefault="00440FD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ECB44C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7EB3B6F"/>
    <w:multiLevelType w:val="multilevel"/>
    <w:tmpl w:val="4CE67978"/>
    <w:lvl w:ilvl="0">
      <w:start w:val="1"/>
      <w:numFmt w:val="decimal"/>
      <w:pStyle w:val="Level1"/>
      <w:suff w:val="nothing"/>
      <w:lvlText w:val="%1.  "/>
      <w:lvlJc w:val="left"/>
      <w:pPr>
        <w:ind w:left="216" w:hanging="216"/>
      </w:pPr>
      <w:rPr>
        <w:rFonts w:ascii="Garamond" w:hAnsi="Garamond" w:hint="default"/>
        <w:b/>
        <w:i w:val="0"/>
        <w:strike w:val="0"/>
        <w:dstrike w:val="0"/>
        <w:sz w:val="30"/>
        <w:u w:val="none"/>
        <w:effect w:val="none"/>
      </w:rPr>
    </w:lvl>
    <w:lvl w:ilvl="1">
      <w:start w:val="1"/>
      <w:numFmt w:val="upperLetter"/>
      <w:suff w:val="nothing"/>
      <w:lvlText w:val="%2.  "/>
      <w:lvlJc w:val="left"/>
      <w:pPr>
        <w:ind w:left="792" w:hanging="360"/>
      </w:pPr>
      <w:rPr>
        <w:i w:val="0"/>
        <w:iCs w:val="0"/>
        <w:caps w:val="0"/>
        <w:strike w:val="0"/>
        <w:dstrike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016"/>
        </w:tabs>
        <w:ind w:left="1656" w:firstLine="0"/>
      </w:pPr>
    </w:lvl>
    <w:lvl w:ilvl="3">
      <w:start w:val="1"/>
      <w:numFmt w:val="lowerLetter"/>
      <w:lvlText w:val="%4)"/>
      <w:lvlJc w:val="left"/>
      <w:pPr>
        <w:tabs>
          <w:tab w:val="num" w:pos="2736"/>
        </w:tabs>
        <w:ind w:left="2376" w:firstLine="0"/>
      </w:pPr>
    </w:lvl>
    <w:lvl w:ilvl="4">
      <w:start w:val="1"/>
      <w:numFmt w:val="decimal"/>
      <w:lvlText w:val="(%5)"/>
      <w:lvlJc w:val="left"/>
      <w:pPr>
        <w:tabs>
          <w:tab w:val="num" w:pos="3456"/>
        </w:tabs>
        <w:ind w:left="3096" w:firstLine="0"/>
      </w:pPr>
    </w:lvl>
    <w:lvl w:ilvl="5">
      <w:start w:val="1"/>
      <w:numFmt w:val="lowerLetter"/>
      <w:lvlText w:val="(%6)"/>
      <w:lvlJc w:val="left"/>
      <w:pPr>
        <w:tabs>
          <w:tab w:val="num" w:pos="4176"/>
        </w:tabs>
        <w:ind w:left="3816" w:firstLine="0"/>
      </w:pPr>
    </w:lvl>
    <w:lvl w:ilvl="6">
      <w:start w:val="1"/>
      <w:numFmt w:val="lowerRoman"/>
      <w:lvlText w:val="(%7)"/>
      <w:lvlJc w:val="left"/>
      <w:pPr>
        <w:tabs>
          <w:tab w:val="num" w:pos="4896"/>
        </w:tabs>
        <w:ind w:left="4536" w:firstLine="0"/>
      </w:pPr>
    </w:lvl>
    <w:lvl w:ilvl="7">
      <w:start w:val="1"/>
      <w:numFmt w:val="lowerLetter"/>
      <w:lvlText w:val="(%8)"/>
      <w:lvlJc w:val="left"/>
      <w:pPr>
        <w:tabs>
          <w:tab w:val="num" w:pos="5616"/>
        </w:tabs>
        <w:ind w:left="5256" w:firstLine="0"/>
      </w:pPr>
    </w:lvl>
    <w:lvl w:ilvl="8">
      <w:start w:val="1"/>
      <w:numFmt w:val="lowerRoman"/>
      <w:lvlText w:val="(%9)"/>
      <w:lvlJc w:val="left"/>
      <w:pPr>
        <w:tabs>
          <w:tab w:val="num" w:pos="6336"/>
        </w:tabs>
        <w:ind w:left="5976" w:firstLine="0"/>
      </w:pPr>
    </w:lvl>
  </w:abstractNum>
  <w:abstractNum w:abstractNumId="2" w15:restartNumberingAfterBreak="0">
    <w:nsid w:val="1B025545"/>
    <w:multiLevelType w:val="multilevel"/>
    <w:tmpl w:val="DF80B0E0"/>
    <w:lvl w:ilvl="0">
      <w:start w:val="1"/>
      <w:numFmt w:val="decimal"/>
      <w:pStyle w:val="HomerL1"/>
      <w:suff w:val="nothing"/>
      <w:lvlText w:val="%1.  "/>
      <w:lvlJc w:val="left"/>
      <w:pPr>
        <w:ind w:left="216" w:hanging="216"/>
      </w:pPr>
      <w:rPr>
        <w:rFonts w:ascii="Garamond" w:hAnsi="Garamond" w:hint="default"/>
        <w:b/>
        <w:i w:val="0"/>
        <w:strike w:val="0"/>
        <w:dstrike w:val="0"/>
        <w:sz w:val="38"/>
        <w:u w:val="none"/>
        <w:effect w:val="none"/>
      </w:rPr>
    </w:lvl>
    <w:lvl w:ilvl="1">
      <w:start w:val="1"/>
      <w:numFmt w:val="upperLetter"/>
      <w:suff w:val="nothing"/>
      <w:lvlText w:val="%2.  "/>
      <w:lvlJc w:val="left"/>
      <w:pPr>
        <w:ind w:left="792" w:hanging="360"/>
      </w:pPr>
      <w:rPr>
        <w:i w:val="0"/>
        <w:iCs w:val="0"/>
        <w:caps w:val="0"/>
        <w:strike w:val="0"/>
        <w:dstrike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016"/>
        </w:tabs>
        <w:ind w:left="1656" w:firstLine="0"/>
      </w:pPr>
    </w:lvl>
    <w:lvl w:ilvl="3">
      <w:start w:val="1"/>
      <w:numFmt w:val="lowerLetter"/>
      <w:lvlText w:val="%4)"/>
      <w:lvlJc w:val="left"/>
      <w:pPr>
        <w:tabs>
          <w:tab w:val="num" w:pos="2736"/>
        </w:tabs>
        <w:ind w:left="2376" w:firstLine="0"/>
      </w:pPr>
    </w:lvl>
    <w:lvl w:ilvl="4">
      <w:start w:val="1"/>
      <w:numFmt w:val="decimal"/>
      <w:lvlText w:val="(%5)"/>
      <w:lvlJc w:val="left"/>
      <w:pPr>
        <w:tabs>
          <w:tab w:val="num" w:pos="3456"/>
        </w:tabs>
        <w:ind w:left="3096" w:firstLine="0"/>
      </w:pPr>
    </w:lvl>
    <w:lvl w:ilvl="5">
      <w:start w:val="1"/>
      <w:numFmt w:val="lowerLetter"/>
      <w:lvlText w:val="(%6)"/>
      <w:lvlJc w:val="left"/>
      <w:pPr>
        <w:tabs>
          <w:tab w:val="num" w:pos="4176"/>
        </w:tabs>
        <w:ind w:left="3816" w:firstLine="0"/>
      </w:pPr>
    </w:lvl>
    <w:lvl w:ilvl="6">
      <w:start w:val="1"/>
      <w:numFmt w:val="lowerRoman"/>
      <w:lvlText w:val="(%7)"/>
      <w:lvlJc w:val="left"/>
      <w:pPr>
        <w:tabs>
          <w:tab w:val="num" w:pos="4896"/>
        </w:tabs>
        <w:ind w:left="4536" w:firstLine="0"/>
      </w:pPr>
    </w:lvl>
    <w:lvl w:ilvl="7">
      <w:start w:val="1"/>
      <w:numFmt w:val="lowerLetter"/>
      <w:lvlText w:val="(%8)"/>
      <w:lvlJc w:val="left"/>
      <w:pPr>
        <w:tabs>
          <w:tab w:val="num" w:pos="5616"/>
        </w:tabs>
        <w:ind w:left="5256" w:firstLine="0"/>
      </w:pPr>
    </w:lvl>
    <w:lvl w:ilvl="8">
      <w:start w:val="1"/>
      <w:numFmt w:val="lowerRoman"/>
      <w:lvlText w:val="(%9)"/>
      <w:lvlJc w:val="left"/>
      <w:pPr>
        <w:tabs>
          <w:tab w:val="num" w:pos="6336"/>
        </w:tabs>
        <w:ind w:left="5976" w:firstLine="0"/>
      </w:pPr>
    </w:lvl>
  </w:abstractNum>
  <w:abstractNum w:abstractNumId="3" w15:restartNumberingAfterBreak="0">
    <w:nsid w:val="40C86C94"/>
    <w:multiLevelType w:val="hybridMultilevel"/>
    <w:tmpl w:val="F5A0AC92"/>
    <w:lvl w:ilvl="0" w:tplc="0F42D93A">
      <w:start w:val="1"/>
      <w:numFmt w:val="upperLetter"/>
      <w:pStyle w:val="StyleHeading2LatinGaramond"/>
      <w:lvlText w:val="%1."/>
      <w:lvlJc w:val="left"/>
      <w:pPr>
        <w:tabs>
          <w:tab w:val="num" w:pos="360"/>
        </w:tabs>
        <w:ind w:left="360" w:hanging="360"/>
      </w:pPr>
      <w:rPr>
        <w:rFonts w:ascii="Garamond" w:hAnsi="Garamond" w:hint="default"/>
        <w:b/>
        <w:i w:val="0"/>
        <w:strike w:val="0"/>
        <w:dstrike w:val="0"/>
        <w:u w:val="none"/>
        <w:effect w:val="none"/>
      </w:rPr>
    </w:lvl>
    <w:lvl w:ilvl="1" w:tplc="04090019">
      <w:start w:val="1"/>
      <w:numFmt w:val="decimal"/>
      <w:lvlText w:val="%2."/>
      <w:lvlJc w:val="left"/>
      <w:pPr>
        <w:tabs>
          <w:tab w:val="num" w:pos="1440"/>
        </w:tabs>
        <w:ind w:left="1440" w:hanging="360"/>
      </w:pPr>
      <w:rPr>
        <w:b/>
        <w:i w:val="0"/>
        <w:strike w:val="0"/>
        <w:dstrike w:val="0"/>
        <w:u w:val="none"/>
        <w:effect w:val="none"/>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42C24402"/>
    <w:multiLevelType w:val="multilevel"/>
    <w:tmpl w:val="EDD83954"/>
    <w:lvl w:ilvl="0">
      <w:start w:val="1"/>
      <w:numFmt w:val="lowerRoman"/>
      <w:pStyle w:val="L3"/>
      <w:suff w:val="nothing"/>
      <w:lvlText w:val="%1.  "/>
      <w:lvlJc w:val="left"/>
      <w:pPr>
        <w:ind w:left="0" w:firstLine="0"/>
      </w:pPr>
      <w:rPr>
        <w:rFonts w:ascii="Garamond" w:hAnsi="Garamond" w:hint="default"/>
        <w:b/>
        <w:i w:val="0"/>
        <w:strike w:val="0"/>
        <w:dstrike w:val="0"/>
        <w:sz w:val="24"/>
        <w:u w:val="none"/>
        <w:effect w:val="none"/>
      </w:rPr>
    </w:lvl>
    <w:lvl w:ilvl="1">
      <w:start w:val="1"/>
      <w:numFmt w:val="upperLetter"/>
      <w:suff w:val="nothing"/>
      <w:lvlText w:val="%2.  "/>
      <w:lvlJc w:val="left"/>
      <w:pPr>
        <w:ind w:left="0" w:firstLine="0"/>
      </w:pPr>
      <w:rPr>
        <w:b/>
        <w:i w:val="0"/>
        <w:caps w:val="0"/>
        <w:strike w:val="0"/>
        <w:dstrike w:val="0"/>
        <w:vanish w:val="0"/>
        <w:webHidden w:val="0"/>
        <w:color w:val="000000"/>
        <w:u w:val="none"/>
        <w:effect w:val="no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lvlText w:val="%3."/>
      <w:lvlJc w:val="left"/>
      <w:pPr>
        <w:tabs>
          <w:tab w:val="num" w:pos="360"/>
        </w:tabs>
        <w:ind w:left="360" w:firstLine="0"/>
      </w:pPr>
      <w:rPr>
        <w:b/>
        <w:i w:val="0"/>
      </w:rPr>
    </w:lvl>
    <w:lvl w:ilvl="3">
      <w:start w:val="1"/>
      <w:numFmt w:val="lowerLetter"/>
      <w:lvlText w:val="%4)"/>
      <w:lvlJc w:val="left"/>
      <w:pPr>
        <w:tabs>
          <w:tab w:val="num" w:pos="2736"/>
        </w:tabs>
        <w:ind w:left="2376" w:firstLine="0"/>
      </w:pPr>
    </w:lvl>
    <w:lvl w:ilvl="4">
      <w:start w:val="1"/>
      <w:numFmt w:val="decimal"/>
      <w:lvlText w:val="(%5)"/>
      <w:lvlJc w:val="left"/>
      <w:pPr>
        <w:tabs>
          <w:tab w:val="num" w:pos="3456"/>
        </w:tabs>
        <w:ind w:left="3096" w:firstLine="0"/>
      </w:pPr>
    </w:lvl>
    <w:lvl w:ilvl="5">
      <w:start w:val="1"/>
      <w:numFmt w:val="lowerLetter"/>
      <w:lvlText w:val="(%6)"/>
      <w:lvlJc w:val="left"/>
      <w:pPr>
        <w:tabs>
          <w:tab w:val="num" w:pos="4176"/>
        </w:tabs>
        <w:ind w:left="3816" w:firstLine="0"/>
      </w:pPr>
    </w:lvl>
    <w:lvl w:ilvl="6">
      <w:start w:val="1"/>
      <w:numFmt w:val="lowerRoman"/>
      <w:lvlText w:val="(%7)"/>
      <w:lvlJc w:val="left"/>
      <w:pPr>
        <w:tabs>
          <w:tab w:val="num" w:pos="4896"/>
        </w:tabs>
        <w:ind w:left="4536" w:firstLine="0"/>
      </w:pPr>
    </w:lvl>
    <w:lvl w:ilvl="7">
      <w:start w:val="1"/>
      <w:numFmt w:val="lowerLetter"/>
      <w:lvlText w:val="(%8)"/>
      <w:lvlJc w:val="left"/>
      <w:pPr>
        <w:tabs>
          <w:tab w:val="num" w:pos="5616"/>
        </w:tabs>
        <w:ind w:left="5256" w:firstLine="0"/>
      </w:pPr>
    </w:lvl>
    <w:lvl w:ilvl="8">
      <w:start w:val="1"/>
      <w:numFmt w:val="lowerRoman"/>
      <w:lvlText w:val="(%9)"/>
      <w:lvlJc w:val="left"/>
      <w:pPr>
        <w:tabs>
          <w:tab w:val="num" w:pos="6336"/>
        </w:tabs>
        <w:ind w:left="5976" w:firstLine="0"/>
      </w:pPr>
    </w:lvl>
  </w:abstractNum>
  <w:abstractNum w:abstractNumId="5" w15:restartNumberingAfterBreak="0">
    <w:nsid w:val="5A636444"/>
    <w:multiLevelType w:val="multilevel"/>
    <w:tmpl w:val="F82A2F8A"/>
    <w:styleLink w:val="Style1"/>
    <w:lvl w:ilvl="0">
      <w:start w:val="1"/>
      <w:numFmt w:val="upperRoman"/>
      <w:pStyle w:val="ABA1"/>
      <w:lvlText w:val="%1.  "/>
      <w:lvlJc w:val="left"/>
      <w:pPr>
        <w:tabs>
          <w:tab w:val="num" w:pos="1080"/>
        </w:tabs>
        <w:ind w:left="1080" w:hanging="360"/>
      </w:pPr>
      <w:rPr>
        <w:rFonts w:ascii="Garamond" w:hAnsi="Garamond"/>
        <w:strike w:val="0"/>
        <w:dstrike w:val="0"/>
        <w:szCs w:val="36"/>
        <w:u w:val="none"/>
        <w:effect w:val="none"/>
      </w:rPr>
    </w:lvl>
    <w:lvl w:ilvl="1">
      <w:start w:val="1"/>
      <w:numFmt w:val="upperLetter"/>
      <w:pStyle w:val="Level2"/>
      <w:suff w:val="nothing"/>
      <w:lvlText w:val="%2.  "/>
      <w:lvlJc w:val="left"/>
      <w:pPr>
        <w:ind w:left="1800" w:hanging="360"/>
      </w:pPr>
      <w:rPr>
        <w:sz w:val="24"/>
      </w:rPr>
    </w:lvl>
    <w:lvl w:ilvl="2">
      <w:start w:val="1"/>
      <w:numFmt w:val="decimal"/>
      <w:lvlText w:val="%3."/>
      <w:lvlJc w:val="left"/>
      <w:pPr>
        <w:tabs>
          <w:tab w:val="num" w:pos="4176"/>
        </w:tabs>
        <w:ind w:left="2160" w:hanging="360"/>
      </w:pPr>
    </w:lvl>
    <w:lvl w:ilvl="3">
      <w:start w:val="1"/>
      <w:numFmt w:val="lowerLetter"/>
      <w:lvlText w:val="%4)"/>
      <w:lvlJc w:val="left"/>
      <w:pPr>
        <w:tabs>
          <w:tab w:val="num" w:pos="4896"/>
        </w:tabs>
        <w:ind w:left="2520" w:hanging="360"/>
      </w:pPr>
    </w:lvl>
    <w:lvl w:ilvl="4">
      <w:start w:val="1"/>
      <w:numFmt w:val="lowerRoman"/>
      <w:lvlText w:val="(%5)"/>
      <w:lvlJc w:val="left"/>
      <w:pPr>
        <w:tabs>
          <w:tab w:val="num" w:pos="5616"/>
        </w:tabs>
        <w:ind w:left="2880" w:hanging="360"/>
      </w:pPr>
    </w:lvl>
    <w:lvl w:ilvl="5">
      <w:start w:val="1"/>
      <w:numFmt w:val="lowerLetter"/>
      <w:lvlText w:val="(%6)"/>
      <w:lvlJc w:val="left"/>
      <w:pPr>
        <w:tabs>
          <w:tab w:val="num" w:pos="6336"/>
        </w:tabs>
        <w:ind w:left="5976" w:firstLine="0"/>
      </w:pPr>
    </w:lvl>
    <w:lvl w:ilvl="6">
      <w:start w:val="1"/>
      <w:numFmt w:val="lowerRoman"/>
      <w:lvlText w:val="(%7)"/>
      <w:lvlJc w:val="left"/>
      <w:pPr>
        <w:tabs>
          <w:tab w:val="num" w:pos="7056"/>
        </w:tabs>
        <w:ind w:left="6696" w:firstLine="0"/>
      </w:pPr>
    </w:lvl>
    <w:lvl w:ilvl="7">
      <w:start w:val="1"/>
      <w:numFmt w:val="lowerLetter"/>
      <w:lvlText w:val="(%8)"/>
      <w:lvlJc w:val="left"/>
      <w:pPr>
        <w:tabs>
          <w:tab w:val="num" w:pos="7776"/>
        </w:tabs>
        <w:ind w:left="7416" w:firstLine="0"/>
      </w:pPr>
    </w:lvl>
    <w:lvl w:ilvl="8">
      <w:start w:val="1"/>
      <w:numFmt w:val="lowerRoman"/>
      <w:lvlText w:val="(%9)"/>
      <w:lvlJc w:val="left"/>
      <w:pPr>
        <w:tabs>
          <w:tab w:val="num" w:pos="8496"/>
        </w:tabs>
        <w:ind w:left="8136" w:firstLine="0"/>
      </w:pPr>
    </w:lvl>
  </w:abstractNum>
  <w:abstractNum w:abstractNumId="6" w15:restartNumberingAfterBreak="0">
    <w:nsid w:val="5D067D6D"/>
    <w:multiLevelType w:val="multilevel"/>
    <w:tmpl w:val="1938D26E"/>
    <w:lvl w:ilvl="0">
      <w:start w:val="1"/>
      <w:numFmt w:val="decimal"/>
      <w:suff w:val="nothing"/>
      <w:lvlText w:val="%1.  "/>
      <w:lvlJc w:val="left"/>
      <w:pPr>
        <w:ind w:left="0" w:firstLine="0"/>
      </w:pPr>
      <w:rPr>
        <w:rFonts w:ascii="Garamond" w:hAnsi="Garamond" w:hint="default"/>
        <w:b/>
        <w:i w:val="0"/>
        <w:strike w:val="0"/>
        <w:dstrike w:val="0"/>
        <w:sz w:val="36"/>
        <w:u w:val="none"/>
        <w:effect w:val="none"/>
      </w:rPr>
    </w:lvl>
    <w:lvl w:ilvl="1">
      <w:start w:val="1"/>
      <w:numFmt w:val="upperLetter"/>
      <w:pStyle w:val="HomerL2"/>
      <w:suff w:val="nothing"/>
      <w:lvlText w:val="%2.  "/>
      <w:lvlJc w:val="left"/>
      <w:pPr>
        <w:ind w:left="-2520" w:hanging="360"/>
      </w:pPr>
      <w:rPr>
        <w:rFonts w:ascii="Garamond" w:hAnsi="Garamond" w:cs="Times New Roman" w:hint="default"/>
        <w:b/>
        <w:bCs w:val="0"/>
        <w:i w:val="0"/>
        <w:iCs w:val="0"/>
        <w:caps w:val="0"/>
        <w:strike w:val="0"/>
        <w:dstrike w:val="0"/>
        <w:vanish w:val="0"/>
        <w:webHidden w:val="0"/>
        <w:color w:val="000000"/>
        <w:spacing w:val="0"/>
        <w:kern w:val="0"/>
        <w:position w:val="0"/>
        <w:sz w:val="3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360"/>
        </w:tabs>
        <w:ind w:left="360" w:firstLine="0"/>
      </w:pPr>
    </w:lvl>
    <w:lvl w:ilvl="3">
      <w:start w:val="1"/>
      <w:numFmt w:val="lowerLetter"/>
      <w:lvlText w:val="%4)"/>
      <w:lvlJc w:val="left"/>
      <w:pPr>
        <w:tabs>
          <w:tab w:val="num" w:pos="2736"/>
        </w:tabs>
        <w:ind w:left="2376" w:firstLine="0"/>
      </w:pPr>
    </w:lvl>
    <w:lvl w:ilvl="4">
      <w:start w:val="1"/>
      <w:numFmt w:val="decimal"/>
      <w:lvlText w:val="(%5)"/>
      <w:lvlJc w:val="left"/>
      <w:pPr>
        <w:tabs>
          <w:tab w:val="num" w:pos="3456"/>
        </w:tabs>
        <w:ind w:left="3096" w:firstLine="0"/>
      </w:pPr>
    </w:lvl>
    <w:lvl w:ilvl="5">
      <w:start w:val="1"/>
      <w:numFmt w:val="lowerLetter"/>
      <w:lvlText w:val="(%6)"/>
      <w:lvlJc w:val="left"/>
      <w:pPr>
        <w:tabs>
          <w:tab w:val="num" w:pos="4176"/>
        </w:tabs>
        <w:ind w:left="3816" w:firstLine="0"/>
      </w:pPr>
    </w:lvl>
    <w:lvl w:ilvl="6">
      <w:start w:val="1"/>
      <w:numFmt w:val="lowerRoman"/>
      <w:lvlText w:val="(%7)"/>
      <w:lvlJc w:val="left"/>
      <w:pPr>
        <w:tabs>
          <w:tab w:val="num" w:pos="4896"/>
        </w:tabs>
        <w:ind w:left="4536" w:firstLine="0"/>
      </w:pPr>
    </w:lvl>
    <w:lvl w:ilvl="7">
      <w:start w:val="1"/>
      <w:numFmt w:val="lowerLetter"/>
      <w:lvlText w:val="(%8)"/>
      <w:lvlJc w:val="left"/>
      <w:pPr>
        <w:tabs>
          <w:tab w:val="num" w:pos="5616"/>
        </w:tabs>
        <w:ind w:left="5256" w:firstLine="0"/>
      </w:pPr>
    </w:lvl>
    <w:lvl w:ilvl="8">
      <w:start w:val="1"/>
      <w:numFmt w:val="lowerRoman"/>
      <w:lvlText w:val="(%9)"/>
      <w:lvlJc w:val="left"/>
      <w:pPr>
        <w:tabs>
          <w:tab w:val="num" w:pos="6336"/>
        </w:tabs>
        <w:ind w:left="5976" w:firstLine="0"/>
      </w:pPr>
    </w:lvl>
  </w:abstractNum>
  <w:abstractNum w:abstractNumId="7" w15:restartNumberingAfterBreak="0">
    <w:nsid w:val="77BA7C48"/>
    <w:multiLevelType w:val="multilevel"/>
    <w:tmpl w:val="5792E03C"/>
    <w:lvl w:ilvl="0">
      <w:start w:val="1"/>
      <w:numFmt w:val="decimal"/>
      <w:pStyle w:val="Heading1"/>
      <w:suff w:val="nothing"/>
      <w:lvlText w:val="%1.  "/>
      <w:lvlJc w:val="left"/>
      <w:pPr>
        <w:ind w:left="216" w:hanging="216"/>
      </w:pPr>
      <w:rPr>
        <w:rFonts w:ascii="Garamond" w:hAnsi="Garamond" w:hint="default"/>
        <w:b/>
        <w:i w:val="0"/>
        <w:strike w:val="0"/>
        <w:dstrike w:val="0"/>
        <w:u w:val="none"/>
        <w:effect w:val="none"/>
      </w:rPr>
    </w:lvl>
    <w:lvl w:ilvl="1">
      <w:start w:val="1"/>
      <w:numFmt w:val="upperLetter"/>
      <w:pStyle w:val="L2"/>
      <w:suff w:val="nothing"/>
      <w:lvlText w:val="%2.  "/>
      <w:lvlJc w:val="left"/>
      <w:pPr>
        <w:ind w:left="792" w:hanging="360"/>
      </w:pPr>
    </w:lvl>
    <w:lvl w:ilvl="2">
      <w:start w:val="1"/>
      <w:numFmt w:val="decimal"/>
      <w:lvlText w:val="%3."/>
      <w:lvlJc w:val="left"/>
      <w:pPr>
        <w:tabs>
          <w:tab w:val="num" w:pos="2016"/>
        </w:tabs>
        <w:ind w:left="1656" w:firstLine="0"/>
      </w:pPr>
    </w:lvl>
    <w:lvl w:ilvl="3">
      <w:start w:val="1"/>
      <w:numFmt w:val="lowerLetter"/>
      <w:lvlText w:val="%4)"/>
      <w:lvlJc w:val="left"/>
      <w:pPr>
        <w:tabs>
          <w:tab w:val="num" w:pos="2736"/>
        </w:tabs>
        <w:ind w:left="2376" w:firstLine="0"/>
      </w:pPr>
    </w:lvl>
    <w:lvl w:ilvl="4">
      <w:start w:val="1"/>
      <w:numFmt w:val="decimal"/>
      <w:lvlText w:val="(%5)"/>
      <w:lvlJc w:val="left"/>
      <w:pPr>
        <w:tabs>
          <w:tab w:val="num" w:pos="3456"/>
        </w:tabs>
        <w:ind w:left="3096" w:firstLine="0"/>
      </w:pPr>
    </w:lvl>
    <w:lvl w:ilvl="5">
      <w:start w:val="1"/>
      <w:numFmt w:val="lowerLetter"/>
      <w:lvlText w:val="(%6)"/>
      <w:lvlJc w:val="left"/>
      <w:pPr>
        <w:tabs>
          <w:tab w:val="num" w:pos="4176"/>
        </w:tabs>
        <w:ind w:left="3816" w:firstLine="0"/>
      </w:pPr>
    </w:lvl>
    <w:lvl w:ilvl="6">
      <w:start w:val="1"/>
      <w:numFmt w:val="lowerRoman"/>
      <w:lvlText w:val="(%7)"/>
      <w:lvlJc w:val="left"/>
      <w:pPr>
        <w:tabs>
          <w:tab w:val="num" w:pos="4896"/>
        </w:tabs>
        <w:ind w:left="4536" w:firstLine="0"/>
      </w:pPr>
    </w:lvl>
    <w:lvl w:ilvl="7">
      <w:start w:val="1"/>
      <w:numFmt w:val="lowerLetter"/>
      <w:lvlText w:val="(%8)"/>
      <w:lvlJc w:val="left"/>
      <w:pPr>
        <w:tabs>
          <w:tab w:val="num" w:pos="5616"/>
        </w:tabs>
        <w:ind w:left="5256" w:firstLine="0"/>
      </w:pPr>
    </w:lvl>
    <w:lvl w:ilvl="8">
      <w:start w:val="1"/>
      <w:numFmt w:val="lowerRoman"/>
      <w:lvlText w:val="(%9)"/>
      <w:lvlJc w:val="left"/>
      <w:pPr>
        <w:tabs>
          <w:tab w:val="num" w:pos="6336"/>
        </w:tabs>
        <w:ind w:left="5976" w:firstLine="0"/>
      </w:pPr>
    </w:lvl>
  </w:abstractNum>
  <w:num w:numId="1" w16cid:durableId="1942837855">
    <w:abstractNumId w:val="7"/>
  </w:num>
  <w:num w:numId="2" w16cid:durableId="18602691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29089725">
    <w:abstractNumId w:val="3"/>
  </w:num>
  <w:num w:numId="4" w16cid:durableId="22009659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9113265">
    <w:abstractNumId w:val="5"/>
  </w:num>
  <w:num w:numId="6" w16cid:durableId="62947224">
    <w:abstractNumId w:val="5"/>
    <w:lvlOverride w:ilvl="0">
      <w:lvl w:ilvl="0">
        <w:start w:val="1"/>
        <w:numFmt w:val="decimal"/>
        <w:pStyle w:val="ABA1"/>
        <w:suff w:val="nothing"/>
        <w:lvlText w:val="%1.  "/>
        <w:lvlJc w:val="left"/>
        <w:pPr>
          <w:ind w:left="-216" w:hanging="216"/>
        </w:pPr>
        <w:rPr>
          <w:rFonts w:ascii="Garamond" w:hAnsi="Garamond" w:hint="default"/>
          <w:b/>
          <w:i w:val="0"/>
          <w:strike w:val="0"/>
          <w:dstrike w:val="0"/>
          <w:szCs w:val="36"/>
          <w:u w:val="none"/>
          <w:effect w:val="none"/>
        </w:rPr>
      </w:lvl>
    </w:lvlOverride>
    <w:lvlOverride w:ilvl="1">
      <w:lvl w:ilvl="1">
        <w:start w:val="1"/>
        <w:numFmt w:val="upperLetter"/>
        <w:pStyle w:val="Level2"/>
        <w:suff w:val="nothing"/>
        <w:lvlText w:val="%2.  "/>
        <w:lvlJc w:val="left"/>
        <w:pPr>
          <w:ind w:left="216" w:hanging="216"/>
        </w:pPr>
        <w:rPr>
          <w:rFonts w:ascii="Garamond" w:hAnsi="Garamond" w:cs="Times New Roman" w:hint="default"/>
          <w:b/>
          <w:bCs w:val="0"/>
          <w:i w:val="0"/>
          <w:iCs w:val="0"/>
          <w:caps w:val="0"/>
          <w:strike w:val="0"/>
          <w:dstrike w:val="0"/>
          <w:outline w:val="0"/>
          <w:shadow w:val="0"/>
          <w:emboss w:val="0"/>
          <w:imprint w:val="0"/>
          <w:vanish w:val="0"/>
          <w:webHidden w:val="0"/>
          <w:spacing w:val="0"/>
          <w:kern w:val="0"/>
          <w:position w:val="0"/>
          <w:sz w:val="26"/>
          <w:u w:val="none"/>
          <w:effect w:val="none"/>
          <w:vertAlign w:val="baseline"/>
          <w:em w:val="none"/>
          <w:specVanish w:val="0"/>
        </w:rPr>
      </w:lvl>
    </w:lvlOverride>
    <w:lvlOverride w:ilvl="2">
      <w:lvl w:ilvl="2">
        <w:start w:val="1"/>
        <w:numFmt w:val="decimal"/>
        <w:lvlText w:val="%3."/>
        <w:lvlJc w:val="left"/>
        <w:pPr>
          <w:tabs>
            <w:tab w:val="num" w:pos="1584"/>
          </w:tabs>
          <w:ind w:left="1224" w:firstLine="0"/>
        </w:pPr>
      </w:lvl>
    </w:lvlOverride>
    <w:lvlOverride w:ilvl="3">
      <w:lvl w:ilvl="3">
        <w:start w:val="1"/>
        <w:numFmt w:val="lowerLetter"/>
        <w:lvlText w:val="%4)"/>
        <w:lvlJc w:val="left"/>
        <w:pPr>
          <w:tabs>
            <w:tab w:val="num" w:pos="2304"/>
          </w:tabs>
          <w:ind w:left="1944" w:firstLine="0"/>
        </w:pPr>
      </w:lvl>
    </w:lvlOverride>
    <w:lvlOverride w:ilvl="4">
      <w:lvl w:ilvl="4">
        <w:start w:val="1"/>
        <w:numFmt w:val="decimal"/>
        <w:lvlText w:val="(%5)"/>
        <w:lvlJc w:val="left"/>
        <w:pPr>
          <w:tabs>
            <w:tab w:val="num" w:pos="3024"/>
          </w:tabs>
          <w:ind w:left="2664" w:firstLine="0"/>
        </w:pPr>
      </w:lvl>
    </w:lvlOverride>
    <w:lvlOverride w:ilvl="5">
      <w:lvl w:ilvl="5">
        <w:start w:val="1"/>
        <w:numFmt w:val="lowerLetter"/>
        <w:lvlText w:val="(%6)"/>
        <w:lvlJc w:val="left"/>
        <w:pPr>
          <w:tabs>
            <w:tab w:val="num" w:pos="3744"/>
          </w:tabs>
          <w:ind w:left="3384" w:firstLine="0"/>
        </w:pPr>
      </w:lvl>
    </w:lvlOverride>
    <w:lvlOverride w:ilvl="6">
      <w:lvl w:ilvl="6">
        <w:start w:val="1"/>
        <w:numFmt w:val="lowerRoman"/>
        <w:lvlText w:val="(%7)"/>
        <w:lvlJc w:val="left"/>
        <w:pPr>
          <w:tabs>
            <w:tab w:val="num" w:pos="4464"/>
          </w:tabs>
          <w:ind w:left="4104" w:firstLine="0"/>
        </w:pPr>
      </w:lvl>
    </w:lvlOverride>
    <w:lvlOverride w:ilvl="7">
      <w:lvl w:ilvl="7">
        <w:start w:val="1"/>
        <w:numFmt w:val="lowerLetter"/>
        <w:lvlText w:val="(%8)"/>
        <w:lvlJc w:val="left"/>
        <w:pPr>
          <w:tabs>
            <w:tab w:val="num" w:pos="5184"/>
          </w:tabs>
          <w:ind w:left="4824" w:firstLine="0"/>
        </w:pPr>
      </w:lvl>
    </w:lvlOverride>
    <w:lvlOverride w:ilvl="8">
      <w:lvl w:ilvl="8">
        <w:start w:val="1"/>
        <w:numFmt w:val="lowerRoman"/>
        <w:lvlText w:val="(%9)"/>
        <w:lvlJc w:val="left"/>
        <w:pPr>
          <w:tabs>
            <w:tab w:val="num" w:pos="5904"/>
          </w:tabs>
          <w:ind w:left="5544" w:firstLine="0"/>
        </w:pPr>
      </w:lvl>
    </w:lvlOverride>
  </w:num>
  <w:num w:numId="7" w16cid:durableId="263539716">
    <w:abstractNumId w:val="6"/>
  </w:num>
  <w:num w:numId="8" w16cid:durableId="5732481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30834341">
    <w:abstractNumId w:val="2"/>
  </w:num>
  <w:num w:numId="10" w16cid:durableId="8497577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72218866">
    <w:abstractNumId w:val="1"/>
  </w:num>
  <w:num w:numId="12" w16cid:durableId="21461223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61276804">
    <w:abstractNumId w:val="4"/>
  </w:num>
  <w:num w:numId="14" w16cid:durableId="20729964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5591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CEE"/>
    <w:rsid w:val="00005834"/>
    <w:rsid w:val="00016CE8"/>
    <w:rsid w:val="000265C4"/>
    <w:rsid w:val="000378F8"/>
    <w:rsid w:val="00063C89"/>
    <w:rsid w:val="00066159"/>
    <w:rsid w:val="00080713"/>
    <w:rsid w:val="0008440D"/>
    <w:rsid w:val="000961B0"/>
    <w:rsid w:val="000A288B"/>
    <w:rsid w:val="000A290B"/>
    <w:rsid w:val="000D4DB1"/>
    <w:rsid w:val="000E3BC3"/>
    <w:rsid w:val="000E7C9A"/>
    <w:rsid w:val="000F0B10"/>
    <w:rsid w:val="000F52BA"/>
    <w:rsid w:val="00105DA0"/>
    <w:rsid w:val="00106AFA"/>
    <w:rsid w:val="00125C7C"/>
    <w:rsid w:val="001534F6"/>
    <w:rsid w:val="00153F46"/>
    <w:rsid w:val="001622A7"/>
    <w:rsid w:val="00163BCD"/>
    <w:rsid w:val="001725EE"/>
    <w:rsid w:val="00184EB1"/>
    <w:rsid w:val="001976F6"/>
    <w:rsid w:val="001B73E5"/>
    <w:rsid w:val="001C648D"/>
    <w:rsid w:val="001D5DA6"/>
    <w:rsid w:val="001D6ED6"/>
    <w:rsid w:val="001E060F"/>
    <w:rsid w:val="001E4D12"/>
    <w:rsid w:val="001F0BAC"/>
    <w:rsid w:val="001F3410"/>
    <w:rsid w:val="00230632"/>
    <w:rsid w:val="00252B3B"/>
    <w:rsid w:val="002539B9"/>
    <w:rsid w:val="002724E3"/>
    <w:rsid w:val="00277E7B"/>
    <w:rsid w:val="00292FBB"/>
    <w:rsid w:val="00297561"/>
    <w:rsid w:val="002B308A"/>
    <w:rsid w:val="002B6AE7"/>
    <w:rsid w:val="002D71D0"/>
    <w:rsid w:val="002F5286"/>
    <w:rsid w:val="002F7888"/>
    <w:rsid w:val="00323CEE"/>
    <w:rsid w:val="00331291"/>
    <w:rsid w:val="0033366C"/>
    <w:rsid w:val="003347CE"/>
    <w:rsid w:val="00357BB8"/>
    <w:rsid w:val="00360BCB"/>
    <w:rsid w:val="003961DF"/>
    <w:rsid w:val="003C4D15"/>
    <w:rsid w:val="003C510E"/>
    <w:rsid w:val="003E0EC2"/>
    <w:rsid w:val="003E18CB"/>
    <w:rsid w:val="003E2904"/>
    <w:rsid w:val="003F0604"/>
    <w:rsid w:val="003F0B58"/>
    <w:rsid w:val="00404229"/>
    <w:rsid w:val="0040583A"/>
    <w:rsid w:val="004146A6"/>
    <w:rsid w:val="00416186"/>
    <w:rsid w:val="004233F3"/>
    <w:rsid w:val="0042769F"/>
    <w:rsid w:val="004302DB"/>
    <w:rsid w:val="00432E95"/>
    <w:rsid w:val="00435602"/>
    <w:rsid w:val="00440FD6"/>
    <w:rsid w:val="00461719"/>
    <w:rsid w:val="00464E3B"/>
    <w:rsid w:val="00466D80"/>
    <w:rsid w:val="0047491F"/>
    <w:rsid w:val="00475D6F"/>
    <w:rsid w:val="00481F1E"/>
    <w:rsid w:val="004B746F"/>
    <w:rsid w:val="004D312C"/>
    <w:rsid w:val="004E2D6B"/>
    <w:rsid w:val="00530CC8"/>
    <w:rsid w:val="0053111A"/>
    <w:rsid w:val="00543120"/>
    <w:rsid w:val="005460A0"/>
    <w:rsid w:val="00560987"/>
    <w:rsid w:val="005668BA"/>
    <w:rsid w:val="005703A6"/>
    <w:rsid w:val="00575071"/>
    <w:rsid w:val="005C5B15"/>
    <w:rsid w:val="005E2BEF"/>
    <w:rsid w:val="005E3442"/>
    <w:rsid w:val="005F5150"/>
    <w:rsid w:val="006050BD"/>
    <w:rsid w:val="0060635A"/>
    <w:rsid w:val="00634120"/>
    <w:rsid w:val="00637055"/>
    <w:rsid w:val="00647FD8"/>
    <w:rsid w:val="006756F2"/>
    <w:rsid w:val="006A3766"/>
    <w:rsid w:val="006A4E6D"/>
    <w:rsid w:val="006B2674"/>
    <w:rsid w:val="006B5FB5"/>
    <w:rsid w:val="006D2C8B"/>
    <w:rsid w:val="006D58EE"/>
    <w:rsid w:val="006D60B3"/>
    <w:rsid w:val="006F2DA8"/>
    <w:rsid w:val="00733CEC"/>
    <w:rsid w:val="00736B29"/>
    <w:rsid w:val="00740562"/>
    <w:rsid w:val="0074606F"/>
    <w:rsid w:val="00754BA1"/>
    <w:rsid w:val="007552B1"/>
    <w:rsid w:val="00767D56"/>
    <w:rsid w:val="0078333F"/>
    <w:rsid w:val="0079332E"/>
    <w:rsid w:val="007A41C3"/>
    <w:rsid w:val="007B766C"/>
    <w:rsid w:val="007C533A"/>
    <w:rsid w:val="007C6EDA"/>
    <w:rsid w:val="007D12F1"/>
    <w:rsid w:val="007E243B"/>
    <w:rsid w:val="008014CE"/>
    <w:rsid w:val="00815519"/>
    <w:rsid w:val="00815DFD"/>
    <w:rsid w:val="008400A7"/>
    <w:rsid w:val="0084739B"/>
    <w:rsid w:val="00847F24"/>
    <w:rsid w:val="008506BF"/>
    <w:rsid w:val="0086327C"/>
    <w:rsid w:val="008801B5"/>
    <w:rsid w:val="00884FDB"/>
    <w:rsid w:val="008B0B86"/>
    <w:rsid w:val="008B39F6"/>
    <w:rsid w:val="008B5D86"/>
    <w:rsid w:val="00906127"/>
    <w:rsid w:val="00907430"/>
    <w:rsid w:val="009507F5"/>
    <w:rsid w:val="00951D6D"/>
    <w:rsid w:val="009563A2"/>
    <w:rsid w:val="00970C28"/>
    <w:rsid w:val="009832AA"/>
    <w:rsid w:val="00983D85"/>
    <w:rsid w:val="00984E82"/>
    <w:rsid w:val="00985D0E"/>
    <w:rsid w:val="009948EE"/>
    <w:rsid w:val="00997455"/>
    <w:rsid w:val="009B11EA"/>
    <w:rsid w:val="009D42D0"/>
    <w:rsid w:val="009E5281"/>
    <w:rsid w:val="009F0921"/>
    <w:rsid w:val="009F0EA9"/>
    <w:rsid w:val="009F6B59"/>
    <w:rsid w:val="00A26072"/>
    <w:rsid w:val="00A2650B"/>
    <w:rsid w:val="00A32767"/>
    <w:rsid w:val="00A531B1"/>
    <w:rsid w:val="00A65961"/>
    <w:rsid w:val="00A74490"/>
    <w:rsid w:val="00A91269"/>
    <w:rsid w:val="00A91FDF"/>
    <w:rsid w:val="00AA49F6"/>
    <w:rsid w:val="00AC006C"/>
    <w:rsid w:val="00AE79F1"/>
    <w:rsid w:val="00AF3D8B"/>
    <w:rsid w:val="00B164D2"/>
    <w:rsid w:val="00B17543"/>
    <w:rsid w:val="00B261CB"/>
    <w:rsid w:val="00B3207C"/>
    <w:rsid w:val="00B46BFC"/>
    <w:rsid w:val="00B532B4"/>
    <w:rsid w:val="00B55D3D"/>
    <w:rsid w:val="00B712B5"/>
    <w:rsid w:val="00B950B4"/>
    <w:rsid w:val="00BC64AB"/>
    <w:rsid w:val="00BF6B5E"/>
    <w:rsid w:val="00C028F6"/>
    <w:rsid w:val="00C052B1"/>
    <w:rsid w:val="00C05357"/>
    <w:rsid w:val="00C13F31"/>
    <w:rsid w:val="00C541E9"/>
    <w:rsid w:val="00C62217"/>
    <w:rsid w:val="00C774B2"/>
    <w:rsid w:val="00C91972"/>
    <w:rsid w:val="00C96BBC"/>
    <w:rsid w:val="00CC03C1"/>
    <w:rsid w:val="00CC5484"/>
    <w:rsid w:val="00CD0FED"/>
    <w:rsid w:val="00CD1441"/>
    <w:rsid w:val="00CF560E"/>
    <w:rsid w:val="00D125CA"/>
    <w:rsid w:val="00D138FF"/>
    <w:rsid w:val="00D34906"/>
    <w:rsid w:val="00D4149D"/>
    <w:rsid w:val="00D746D9"/>
    <w:rsid w:val="00D75489"/>
    <w:rsid w:val="00D776E0"/>
    <w:rsid w:val="00D8018E"/>
    <w:rsid w:val="00DB205C"/>
    <w:rsid w:val="00DB671C"/>
    <w:rsid w:val="00DC6160"/>
    <w:rsid w:val="00DC6C7C"/>
    <w:rsid w:val="00E4121F"/>
    <w:rsid w:val="00E414B8"/>
    <w:rsid w:val="00E42741"/>
    <w:rsid w:val="00E464E9"/>
    <w:rsid w:val="00E51700"/>
    <w:rsid w:val="00E55DDC"/>
    <w:rsid w:val="00E56D8A"/>
    <w:rsid w:val="00EA3F88"/>
    <w:rsid w:val="00EB42BF"/>
    <w:rsid w:val="00EC45D3"/>
    <w:rsid w:val="00EE1341"/>
    <w:rsid w:val="00EE6285"/>
    <w:rsid w:val="00F22C5B"/>
    <w:rsid w:val="00F33CDE"/>
    <w:rsid w:val="00F64ED7"/>
    <w:rsid w:val="00F6569E"/>
    <w:rsid w:val="00F70E4E"/>
    <w:rsid w:val="00F75E97"/>
    <w:rsid w:val="00F830CE"/>
    <w:rsid w:val="00FA50A1"/>
    <w:rsid w:val="00FB48D1"/>
    <w:rsid w:val="00FD017D"/>
    <w:rsid w:val="00FD0543"/>
    <w:rsid w:val="00FE56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266B9D"/>
  <w15:docId w15:val="{10BAF07F-3BF2-2042-8376-CF6433F32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pPr>
      <w:spacing w:after="120"/>
    </w:pPr>
    <w:rPr>
      <w:rFonts w:ascii="Garamond" w:hAnsi="Garamond"/>
      <w:sz w:val="24"/>
      <w:szCs w:val="24"/>
    </w:rPr>
  </w:style>
  <w:style w:type="paragraph" w:styleId="Heading1">
    <w:name w:val="heading 1"/>
    <w:basedOn w:val="Normal"/>
    <w:next w:val="Normal"/>
    <w:autoRedefine/>
    <w:qFormat/>
    <w:pPr>
      <w:keepNext/>
      <w:numPr>
        <w:numId w:val="2"/>
      </w:numPr>
      <w:spacing w:before="240" w:after="60"/>
      <w:outlineLvl w:val="0"/>
    </w:pPr>
    <w:rPr>
      <w:rFonts w:cs="Arial"/>
      <w:b/>
      <w:bCs/>
      <w:smallCaps/>
      <w:kern w:val="32"/>
      <w:sz w:val="44"/>
      <w:szCs w:val="44"/>
    </w:rPr>
  </w:style>
  <w:style w:type="paragraph" w:styleId="Heading2">
    <w:name w:val="heading 2"/>
    <w:basedOn w:val="Normal"/>
    <w:next w:val="Normal"/>
    <w:autoRedefine/>
    <w:qFormat/>
    <w:pPr>
      <w:keepNext/>
      <w:spacing w:before="240"/>
      <w:outlineLvl w:val="1"/>
    </w:pPr>
    <w:rPr>
      <w:rFonts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NormalWeb">
    <w:name w:val="Normal (Web)"/>
    <w:basedOn w:val="Normal"/>
    <w:pPr>
      <w:spacing w:before="100" w:beforeAutospacing="1" w:after="100" w:afterAutospacing="1"/>
    </w:pPr>
    <w:rPr>
      <w:rFonts w:ascii="Times New Roman" w:hAnsi="Times New Roman"/>
    </w:rPr>
  </w:style>
  <w:style w:type="paragraph" w:styleId="FootnoteText">
    <w:name w:val="footnote text"/>
    <w:basedOn w:val="Normal"/>
    <w:autoRedefine/>
    <w:semiHidden/>
    <w:rPr>
      <w:rFonts w:cs="Tahoma"/>
      <w:sz w:val="20"/>
      <w:szCs w:val="20"/>
    </w:rPr>
  </w:style>
  <w:style w:type="paragraph" w:styleId="Header">
    <w:name w:val="header"/>
    <w:basedOn w:val="Normal"/>
    <w:pPr>
      <w:tabs>
        <w:tab w:val="center" w:pos="4320"/>
        <w:tab w:val="right" w:pos="8640"/>
      </w:tabs>
    </w:pPr>
  </w:style>
  <w:style w:type="paragraph" w:styleId="BodyText">
    <w:name w:val="Body Text"/>
    <w:basedOn w:val="Normal"/>
  </w:style>
  <w:style w:type="paragraph" w:customStyle="1" w:styleId="Footnote">
    <w:name w:val="Footnote"/>
    <w:basedOn w:val="Normal"/>
    <w:autoRedefine/>
    <w:rPr>
      <w:sz w:val="22"/>
      <w:szCs w:val="22"/>
    </w:rPr>
  </w:style>
  <w:style w:type="paragraph" w:customStyle="1" w:styleId="StyleHeading2LatinGaramond">
    <w:name w:val="Style Heading 2 + (Latin) Garamond"/>
    <w:basedOn w:val="Heading2"/>
    <w:autoRedefine/>
    <w:pPr>
      <w:numPr>
        <w:numId w:val="4"/>
      </w:numPr>
    </w:pPr>
    <w:rPr>
      <w:rFonts w:cs="New York"/>
    </w:rPr>
  </w:style>
  <w:style w:type="paragraph" w:customStyle="1" w:styleId="Outlinelevel2">
    <w:name w:val="Outline level 2"/>
    <w:basedOn w:val="Normal"/>
    <w:pPr>
      <w:spacing w:after="40"/>
      <w:ind w:left="360"/>
      <w:outlineLvl w:val="1"/>
    </w:pPr>
  </w:style>
  <w:style w:type="paragraph" w:customStyle="1" w:styleId="Outlinelevel1">
    <w:name w:val="Outline level 1"/>
    <w:basedOn w:val="Normal"/>
    <w:pPr>
      <w:outlineLvl w:val="0"/>
    </w:pPr>
  </w:style>
  <w:style w:type="paragraph" w:customStyle="1" w:styleId="Outlinelevel3">
    <w:name w:val="Outline level 3"/>
    <w:basedOn w:val="Normal"/>
    <w:pPr>
      <w:spacing w:after="40"/>
      <w:ind w:left="720"/>
      <w:outlineLvl w:val="2"/>
    </w:pPr>
  </w:style>
  <w:style w:type="paragraph" w:customStyle="1" w:styleId="Level10">
    <w:name w:val="Level 1"/>
    <w:basedOn w:val="Normal"/>
    <w:pPr>
      <w:widowControl w:val="0"/>
      <w:tabs>
        <w:tab w:val="left" w:pos="720"/>
        <w:tab w:val="num" w:pos="1080"/>
      </w:tabs>
      <w:snapToGrid w:val="0"/>
      <w:spacing w:before="240" w:after="60"/>
      <w:ind w:left="1080" w:hanging="360"/>
      <w:outlineLvl w:val="0"/>
    </w:pPr>
    <w:rPr>
      <w:b/>
      <w:smallCaps/>
      <w:sz w:val="28"/>
      <w:szCs w:val="28"/>
    </w:rPr>
  </w:style>
  <w:style w:type="paragraph" w:customStyle="1" w:styleId="Level2">
    <w:name w:val="Level2"/>
    <w:basedOn w:val="Heading2"/>
    <w:next w:val="Normal"/>
    <w:autoRedefine/>
    <w:pPr>
      <w:widowControl w:val="0"/>
      <w:numPr>
        <w:ilvl w:val="1"/>
        <w:numId w:val="6"/>
      </w:numPr>
      <w:snapToGrid w:val="0"/>
      <w:spacing w:before="60" w:after="60"/>
    </w:pPr>
    <w:rPr>
      <w:rFonts w:cs="Times New Roman"/>
      <w:bCs w:val="0"/>
      <w:i w:val="0"/>
      <w:iCs w:val="0"/>
      <w:sz w:val="34"/>
    </w:rPr>
  </w:style>
  <w:style w:type="paragraph" w:customStyle="1" w:styleId="Level3">
    <w:name w:val="Level3"/>
    <w:basedOn w:val="Normal"/>
    <w:pPr>
      <w:widowControl w:val="0"/>
      <w:tabs>
        <w:tab w:val="num" w:pos="360"/>
      </w:tabs>
      <w:snapToGrid w:val="0"/>
      <w:spacing w:before="60" w:after="60"/>
      <w:ind w:left="360" w:hanging="360"/>
      <w:contextualSpacing/>
    </w:pPr>
    <w:rPr>
      <w:i/>
    </w:rPr>
  </w:style>
  <w:style w:type="paragraph" w:customStyle="1" w:styleId="PART">
    <w:name w:val="PART"/>
    <w:basedOn w:val="Normal"/>
    <w:next w:val="Level10"/>
    <w:pPr>
      <w:widowControl w:val="0"/>
      <w:snapToGrid w:val="0"/>
      <w:spacing w:after="0"/>
      <w:ind w:left="-720"/>
    </w:pPr>
    <w:rPr>
      <w:b/>
      <w:bCs/>
      <w:iCs/>
      <w:smallCaps/>
      <w:sz w:val="32"/>
      <w:szCs w:val="20"/>
    </w:rPr>
  </w:style>
  <w:style w:type="paragraph" w:customStyle="1" w:styleId="ABAI">
    <w:name w:val="ABA I"/>
    <w:basedOn w:val="Level10"/>
    <w:autoRedefine/>
    <w:pPr>
      <w:widowControl/>
      <w:tabs>
        <w:tab w:val="clear" w:pos="720"/>
      </w:tabs>
      <w:snapToGrid/>
      <w:spacing w:before="0" w:after="0"/>
      <w:outlineLvl w:val="9"/>
    </w:pPr>
    <w:rPr>
      <w:rFonts w:ascii="Times New Roman" w:hAnsi="Times New Roman"/>
      <w:b w:val="0"/>
      <w:smallCaps w:val="0"/>
      <w:sz w:val="24"/>
      <w:szCs w:val="24"/>
    </w:rPr>
  </w:style>
  <w:style w:type="paragraph" w:customStyle="1" w:styleId="ABAA">
    <w:name w:val="ABA A"/>
    <w:basedOn w:val="Level2"/>
    <w:autoRedefine/>
    <w:pPr>
      <w:keepNext w:val="0"/>
      <w:widowControl/>
      <w:numPr>
        <w:ilvl w:val="0"/>
        <w:numId w:val="0"/>
      </w:numPr>
      <w:snapToGrid/>
      <w:spacing w:before="0" w:after="0"/>
      <w:outlineLvl w:val="9"/>
    </w:pPr>
    <w:rPr>
      <w:rFonts w:ascii="Times New Roman" w:hAnsi="Times New Roman"/>
      <w:bCs/>
    </w:rPr>
  </w:style>
  <w:style w:type="paragraph" w:customStyle="1" w:styleId="ABA1">
    <w:name w:val="ABA 1"/>
    <w:basedOn w:val="Normal"/>
    <w:autoRedefine/>
    <w:pPr>
      <w:numPr>
        <w:numId w:val="6"/>
      </w:numPr>
      <w:spacing w:after="0"/>
    </w:pPr>
    <w:rPr>
      <w:rFonts w:ascii="Times New Roman" w:hAnsi="Times New Roman"/>
      <w:b/>
    </w:rPr>
  </w:style>
  <w:style w:type="paragraph" w:customStyle="1" w:styleId="13ptlevel2">
    <w:name w:val="13ptlevel2"/>
    <w:basedOn w:val="Level2"/>
    <w:pPr>
      <w:numPr>
        <w:ilvl w:val="0"/>
        <w:numId w:val="0"/>
      </w:numPr>
      <w:spacing w:after="180"/>
    </w:pPr>
    <w:rPr>
      <w:sz w:val="26"/>
      <w:szCs w:val="26"/>
    </w:rPr>
  </w:style>
  <w:style w:type="paragraph" w:customStyle="1" w:styleId="15pointlevel1">
    <w:name w:val="15pointlevel1"/>
    <w:basedOn w:val="Heading1"/>
    <w:next w:val="Normal"/>
    <w:pPr>
      <w:spacing w:line="480" w:lineRule="auto"/>
    </w:pPr>
    <w:rPr>
      <w:sz w:val="30"/>
      <w:szCs w:val="30"/>
    </w:rPr>
  </w:style>
  <w:style w:type="paragraph" w:customStyle="1" w:styleId="ChapterTitle">
    <w:name w:val="Chapter Title"/>
    <w:basedOn w:val="Normal"/>
    <w:next w:val="Normal"/>
    <w:pPr>
      <w:jc w:val="center"/>
    </w:pPr>
    <w:rPr>
      <w:b/>
      <w:bCs/>
      <w:smallCaps/>
      <w:sz w:val="32"/>
      <w:szCs w:val="34"/>
    </w:rPr>
  </w:style>
  <w:style w:type="paragraph" w:customStyle="1" w:styleId="PartHeading">
    <w:name w:val="Part Heading"/>
    <w:basedOn w:val="Normal"/>
    <w:next w:val="Normal"/>
    <w:pPr>
      <w:spacing w:before="240" w:after="300"/>
      <w:jc w:val="center"/>
    </w:pPr>
    <w:rPr>
      <w:b/>
      <w:bCs/>
      <w:smallCaps/>
      <w:sz w:val="32"/>
      <w:szCs w:val="32"/>
    </w:rPr>
  </w:style>
  <w:style w:type="paragraph" w:customStyle="1" w:styleId="H2RestartNumbering">
    <w:name w:val="H2 Restart Numbering"/>
    <w:basedOn w:val="Normal"/>
    <w:next w:val="Normal"/>
    <w:pPr>
      <w:keepNext/>
      <w:widowControl w:val="0"/>
      <w:snapToGrid w:val="0"/>
      <w:spacing w:before="60" w:after="180"/>
      <w:ind w:left="792" w:hanging="360"/>
      <w:outlineLvl w:val="1"/>
    </w:pPr>
    <w:rPr>
      <w:b/>
      <w:sz w:val="26"/>
      <w:szCs w:val="26"/>
    </w:rPr>
  </w:style>
  <w:style w:type="paragraph" w:customStyle="1" w:styleId="14pointlevel1">
    <w:name w:val="14 point level 1"/>
    <w:basedOn w:val="15pointlevel1"/>
    <w:next w:val="Normal"/>
    <w:pPr>
      <w:numPr>
        <w:numId w:val="0"/>
      </w:numPr>
    </w:pPr>
    <w:rPr>
      <w:sz w:val="28"/>
    </w:rPr>
  </w:style>
  <w:style w:type="paragraph" w:customStyle="1" w:styleId="Book">
    <w:name w:val="Book"/>
    <w:basedOn w:val="Normal"/>
    <w:next w:val="Normal"/>
    <w:pPr>
      <w:spacing w:before="180"/>
      <w:ind w:left="-288"/>
    </w:pPr>
  </w:style>
  <w:style w:type="paragraph" w:customStyle="1" w:styleId="StyleBookBold">
    <w:name w:val="Style Book + Bold"/>
    <w:basedOn w:val="Book"/>
    <w:pPr>
      <w:spacing w:after="80"/>
    </w:pPr>
    <w:rPr>
      <w:b/>
      <w:bCs/>
    </w:rPr>
  </w:style>
  <w:style w:type="paragraph" w:customStyle="1" w:styleId="Bookheading">
    <w:name w:val="Book heading"/>
    <w:basedOn w:val="Book"/>
    <w:pPr>
      <w:spacing w:after="80"/>
    </w:pPr>
  </w:style>
  <w:style w:type="paragraph" w:customStyle="1" w:styleId="StyleHeading1Justified">
    <w:name w:val="Style Heading 1 + Justified"/>
    <w:basedOn w:val="Heading1"/>
    <w:autoRedefine/>
    <w:pPr>
      <w:numPr>
        <w:numId w:val="0"/>
      </w:numPr>
      <w:jc w:val="both"/>
    </w:pPr>
    <w:rPr>
      <w:sz w:val="38"/>
      <w:szCs w:val="38"/>
    </w:rPr>
  </w:style>
  <w:style w:type="paragraph" w:customStyle="1" w:styleId="StyleLevel218ptJustifiedBefore9pt1">
    <w:name w:val="Style Level2 + 18 pt Justified Before:  9 pt1"/>
    <w:basedOn w:val="Level2"/>
    <w:pPr>
      <w:numPr>
        <w:ilvl w:val="0"/>
        <w:numId w:val="0"/>
      </w:numPr>
      <w:spacing w:before="180"/>
      <w:jc w:val="both"/>
    </w:pPr>
  </w:style>
  <w:style w:type="paragraph" w:customStyle="1" w:styleId="HomerL2">
    <w:name w:val="Homer L2"/>
    <w:basedOn w:val="StyleLevel218ptJustifiedBefore9pt1"/>
    <w:autoRedefine/>
    <w:pPr>
      <w:numPr>
        <w:ilvl w:val="1"/>
        <w:numId w:val="8"/>
      </w:numPr>
      <w:spacing w:before="120"/>
    </w:pPr>
    <w:rPr>
      <w:sz w:val="36"/>
      <w:szCs w:val="36"/>
    </w:rPr>
  </w:style>
  <w:style w:type="paragraph" w:customStyle="1" w:styleId="Style18ptJustified">
    <w:name w:val="Style 18 pt Justified"/>
    <w:basedOn w:val="Normal"/>
    <w:pPr>
      <w:jc w:val="both"/>
    </w:pPr>
    <w:rPr>
      <w:sz w:val="36"/>
      <w:szCs w:val="36"/>
    </w:rPr>
  </w:style>
  <w:style w:type="paragraph" w:customStyle="1" w:styleId="HomerL1">
    <w:name w:val="Homer L1"/>
    <w:basedOn w:val="Heading1"/>
    <w:next w:val="Style18ptJustified"/>
    <w:autoRedefine/>
    <w:pPr>
      <w:numPr>
        <w:numId w:val="10"/>
      </w:numPr>
      <w:spacing w:before="360"/>
      <w:jc w:val="both"/>
    </w:pPr>
    <w:rPr>
      <w:sz w:val="38"/>
      <w:szCs w:val="54"/>
    </w:rPr>
  </w:style>
  <w:style w:type="paragraph" w:customStyle="1" w:styleId="h1">
    <w:name w:val="h1"/>
    <w:basedOn w:val="Heading1"/>
    <w:pPr>
      <w:numPr>
        <w:numId w:val="0"/>
      </w:numPr>
      <w:spacing w:before="360"/>
      <w:jc w:val="both"/>
    </w:pPr>
    <w:rPr>
      <w:i/>
      <w:iCs/>
      <w:sz w:val="38"/>
      <w:szCs w:val="38"/>
    </w:rPr>
  </w:style>
  <w:style w:type="paragraph" w:customStyle="1" w:styleId="StyleHeading1JustifiedBefore18pt">
    <w:name w:val="Style Heading 1 + Justified Before:  18 pt"/>
    <w:basedOn w:val="Heading1"/>
    <w:autoRedefine/>
    <w:pPr>
      <w:numPr>
        <w:numId w:val="0"/>
      </w:numPr>
      <w:spacing w:before="360"/>
      <w:jc w:val="both"/>
    </w:pPr>
    <w:rPr>
      <w:sz w:val="38"/>
    </w:rPr>
  </w:style>
  <w:style w:type="paragraph" w:customStyle="1" w:styleId="Level1">
    <w:name w:val="Level1"/>
    <w:basedOn w:val="HomerL1"/>
    <w:next w:val="Normal"/>
    <w:autoRedefine/>
    <w:pPr>
      <w:numPr>
        <w:numId w:val="12"/>
      </w:numPr>
    </w:pPr>
    <w:rPr>
      <w:b w:val="0"/>
      <w:sz w:val="30"/>
      <w:szCs w:val="30"/>
    </w:rPr>
  </w:style>
  <w:style w:type="paragraph" w:customStyle="1" w:styleId="L2">
    <w:name w:val="L2"/>
    <w:basedOn w:val="Level2"/>
    <w:next w:val="Normal"/>
    <w:pPr>
      <w:numPr>
        <w:numId w:val="2"/>
      </w:numPr>
      <w:spacing w:before="120"/>
    </w:pPr>
    <w:rPr>
      <w:sz w:val="26"/>
    </w:rPr>
  </w:style>
  <w:style w:type="paragraph" w:customStyle="1" w:styleId="StyleL2Latin14ptComplex13pt">
    <w:name w:val="Style L2 + (Latin) 14 pt (Complex) 13 pt"/>
    <w:basedOn w:val="L2"/>
    <w:pPr>
      <w:numPr>
        <w:ilvl w:val="0"/>
        <w:numId w:val="0"/>
      </w:numPr>
    </w:pPr>
    <w:rPr>
      <w:sz w:val="28"/>
      <w:szCs w:val="26"/>
    </w:rPr>
  </w:style>
  <w:style w:type="paragraph" w:customStyle="1" w:styleId="L3">
    <w:name w:val="L3"/>
    <w:basedOn w:val="Level3"/>
    <w:next w:val="Normal"/>
    <w:autoRedefine/>
    <w:pPr>
      <w:numPr>
        <w:numId w:val="14"/>
      </w:numPr>
    </w:pPr>
    <w:rPr>
      <w:b/>
      <w:i w:val="0"/>
    </w:rPr>
  </w:style>
  <w:style w:type="paragraph" w:customStyle="1" w:styleId="AHeading2">
    <w:name w:val="A.  Heading 2"/>
    <w:basedOn w:val="H2RestartNumbering"/>
    <w:next w:val="Normal"/>
    <w:autoRedefine/>
    <w:pPr>
      <w:spacing w:before="180" w:after="60"/>
      <w:ind w:left="1872"/>
    </w:pPr>
    <w:rPr>
      <w:sz w:val="24"/>
    </w:rPr>
  </w:style>
  <w:style w:type="character" w:styleId="FootnoteReference">
    <w:name w:val="footnote reference"/>
    <w:semiHidden/>
    <w:rPr>
      <w:vertAlign w:val="superscript"/>
    </w:rPr>
  </w:style>
  <w:style w:type="character" w:customStyle="1" w:styleId="Style">
    <w:name w:val="Style"/>
    <w:rPr>
      <w:rFonts w:ascii="Garamond" w:hAnsi="Garamond" w:hint="default"/>
      <w:sz w:val="20"/>
      <w:szCs w:val="20"/>
      <w:vertAlign w:val="superscript"/>
    </w:rPr>
  </w:style>
  <w:style w:type="numbering" w:customStyle="1" w:styleId="Style1">
    <w:name w:val="Style1"/>
    <w:pPr>
      <w:numPr>
        <w:numId w:val="5"/>
      </w:numPr>
    </w:pPr>
  </w:style>
  <w:style w:type="character" w:styleId="PageNumber">
    <w:name w:val="page number"/>
    <w:basedOn w:val="DefaultParagraphFont"/>
  </w:style>
  <w:style w:type="character" w:styleId="UnresolvedMention">
    <w:name w:val="Unresolved Mention"/>
    <w:basedOn w:val="DefaultParagraphFont"/>
    <w:rsid w:val="00106A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utf-8"/>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citations?user=2X0DLYwAAAAJ&amp;hl=en" TargetMode="External"/><Relationship Id="rId3" Type="http://schemas.openxmlformats.org/officeDocument/2006/relationships/settings" Target="settings.xml"/><Relationship Id="rId7" Type="http://schemas.openxmlformats.org/officeDocument/2006/relationships/hyperlink" Target="https://jackdonnelly.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3099</Words>
  <Characters>17235</Characters>
  <Application>Microsoft Office Word</Application>
  <DocSecurity>0</DocSecurity>
  <Lines>249</Lines>
  <Paragraphs>23</Paragraphs>
  <ScaleCrop>false</ScaleCrop>
  <HeadingPairs>
    <vt:vector size="2" baseType="variant">
      <vt:variant>
        <vt:lpstr>Title</vt:lpstr>
      </vt:variant>
      <vt:variant>
        <vt:i4>1</vt:i4>
      </vt:variant>
    </vt:vector>
  </HeadingPairs>
  <TitlesOfParts>
    <vt:vector size="1" baseType="lpstr">
      <vt:lpstr>Jack Donnelly</vt:lpstr>
    </vt:vector>
  </TitlesOfParts>
  <Company>Joseph Korbel School of International Studies</Company>
  <LinksUpToDate>false</LinksUpToDate>
  <CharactersWithSpaces>20311</CharactersWithSpaces>
  <SharedDoc>false</SharedDoc>
  <HLinks>
    <vt:vector size="24" baseType="variant">
      <vt:variant>
        <vt:i4>7012382</vt:i4>
      </vt:variant>
      <vt:variant>
        <vt:i4>9</vt:i4>
      </vt:variant>
      <vt:variant>
        <vt:i4>0</vt:i4>
      </vt:variant>
      <vt:variant>
        <vt:i4>5</vt:i4>
      </vt:variant>
      <vt:variant>
        <vt:lpwstr>http://civnet.org/civitas/africa/ droits/humrts.htm</vt:lpwstr>
      </vt:variant>
      <vt:variant>
        <vt:lpwstr/>
      </vt:variant>
      <vt:variant>
        <vt:i4>4784234</vt:i4>
      </vt:variant>
      <vt:variant>
        <vt:i4>6</vt:i4>
      </vt:variant>
      <vt:variant>
        <vt:i4>0</vt:i4>
      </vt:variant>
      <vt:variant>
        <vt:i4>5</vt:i4>
      </vt:variant>
      <vt:variant>
        <vt:lpwstr>http://www.america.gov/publications/ejournalusa/1108.html</vt:lpwstr>
      </vt:variant>
      <vt:variant>
        <vt:lpwstr/>
      </vt:variant>
      <vt:variant>
        <vt:i4>7798906</vt:i4>
      </vt:variant>
      <vt:variant>
        <vt:i4>3</vt:i4>
      </vt:variant>
      <vt:variant>
        <vt:i4>0</vt:i4>
      </vt:variant>
      <vt:variant>
        <vt:i4>5</vt:i4>
      </vt:variant>
      <vt:variant>
        <vt:lpwstr>http://mysite.du.edu/~jdonnell</vt:lpwstr>
      </vt:variant>
      <vt:variant>
        <vt:lpwstr/>
      </vt:variant>
      <vt:variant>
        <vt:i4>4194407</vt:i4>
      </vt:variant>
      <vt:variant>
        <vt:i4>0</vt:i4>
      </vt:variant>
      <vt:variant>
        <vt:i4>0</vt:i4>
      </vt:variant>
      <vt:variant>
        <vt:i4>5</vt:i4>
      </vt:variant>
      <vt:variant>
        <vt:lpwstr>mailto:jdonnell@du.edu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Jack Donnelly</dc:title>
  <dc:subject/>
  <dc:creator>Jack</dc:creator>
  <cp:keywords/>
  <dc:description/>
  <cp:lastModifiedBy>Jack Donnelly</cp:lastModifiedBy>
  <cp:revision>2</cp:revision>
  <cp:lastPrinted>2016-07-29T19:18:00Z</cp:lastPrinted>
  <dcterms:created xsi:type="dcterms:W3CDTF">2025-01-07T17:06:00Z</dcterms:created>
  <dcterms:modified xsi:type="dcterms:W3CDTF">2025-01-07T17:06:00Z</dcterms:modified>
</cp:coreProperties>
</file>